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276" w:lineRule="auto"/>
        <w:ind w:left="5812" w:right="-143"/>
        <w:rPr>
          <w:rFonts w:eastAsia="Arial Unicode MS" w:cs="Arial Unicode MS"/>
          <w:color w:val="000000"/>
          <w:sz w:val="24"/>
          <w:szCs w:val="24"/>
          <w:lang w:eastAsia="ru-RU"/>
        </w:rPr>
      </w:pPr>
    </w:p>
    <w:p>
      <w:pPr>
        <w:spacing w:after="0" w:line="276" w:lineRule="auto"/>
        <w:ind w:right="-143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>Техническое задание</w:t>
      </w:r>
    </w:p>
    <w:p>
      <w:pPr>
        <w:spacing w:after="0" w:line="276" w:lineRule="auto"/>
        <w:ind w:right="-143"/>
        <w:jc w:val="center"/>
        <w:rPr>
          <w:rFonts w:eastAsia="Arial Unicode MS" w:cs="Arial Unicode MS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  <w:t xml:space="preserve">на выполнение работ по устройству откосов уникальной детской площадки «Полянка Полярника», расположенной по адресу: г. Мурманск, комплекс Долина Уюта </w:t>
      </w:r>
    </w:p>
    <w:p>
      <w:pPr>
        <w:spacing w:after="0" w:line="276" w:lineRule="auto"/>
        <w:ind w:firstLine="709"/>
        <w:jc w:val="both"/>
        <w:rPr>
          <w:rFonts w:eastAsia="Arial Unicode MS" w:cs="Arial Unicode MS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</w:pPr>
    </w:p>
    <w:tbl>
      <w:tblPr>
        <w:tblStyle w:val="13"/>
        <w:tblW w:w="9526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24"/>
        <w:gridCol w:w="69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numPr>
                <w:ilvl w:val="0"/>
                <w:numId w:val="1"/>
              </w:numPr>
              <w:tabs>
                <w:tab w:val="left" w:pos="342"/>
              </w:tabs>
              <w:spacing w:line="276" w:lineRule="auto"/>
              <w:ind w:left="59" w:right="31" w:firstLine="0"/>
              <w:jc w:val="both"/>
              <w:rPr>
                <w:rFonts w:ascii="Times New Roman" w:hAnsi="Times New Roman" w:eastAsia="Times New Roman" w:cs="Times New Roman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Заказчик:</w:t>
            </w:r>
          </w:p>
        </w:tc>
        <w:tc>
          <w:tcPr>
            <w:tcW w:w="6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Автономная некоммерческая организация «Центр городского развития Мурманской области»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31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numPr>
                <w:ilvl w:val="0"/>
                <w:numId w:val="1"/>
              </w:numPr>
              <w:tabs>
                <w:tab w:val="left" w:pos="342"/>
              </w:tabs>
              <w:spacing w:line="276" w:lineRule="auto"/>
              <w:ind w:left="59" w:right="31" w:firstLine="0"/>
              <w:rPr>
                <w:rFonts w:ascii="Times New Roman" w:hAnsi="Times New Roman" w:eastAsia="Times New Roman" w:cs="Times New Roman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Место выполнения работ:</w:t>
            </w:r>
          </w:p>
        </w:tc>
        <w:tc>
          <w:tcPr>
            <w:tcW w:w="6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76" w:lineRule="auto"/>
              <w:jc w:val="both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Объект благоустройства: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  <w:t>уникальная детская площадка «Полянка Полярника», расположенная по адресу:                              г. Мурманск, комплекс Долина Уюта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31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numPr>
                <w:ilvl w:val="0"/>
                <w:numId w:val="1"/>
              </w:numPr>
              <w:tabs>
                <w:tab w:val="left" w:pos="342"/>
              </w:tabs>
              <w:spacing w:line="276" w:lineRule="auto"/>
              <w:ind w:left="59" w:right="31" w:firstLine="0"/>
              <w:rPr>
                <w:rFonts w:ascii="Times New Roman" w:hAnsi="Times New Roman" w:eastAsia="Times New Roman" w:cs="Times New Roman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lang w:val="ru-RU"/>
                <w14:textFill>
                  <w14:solidFill>
                    <w14:schemeClr w14:val="tx1"/>
                  </w14:solidFill>
                </w14:textFill>
              </w:rPr>
              <w:t>Срок выполнения работ:</w:t>
            </w:r>
          </w:p>
        </w:tc>
        <w:tc>
          <w:tcPr>
            <w:tcW w:w="6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  <w:t>Подрядчик обязан выполнить работы в течение 30 рабочих дней с даты заключения договора.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8" w:hRule="atLeast"/>
        </w:trPr>
        <w:tc>
          <w:tcPr>
            <w:tcW w:w="31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numPr>
                <w:ilvl w:val="0"/>
                <w:numId w:val="1"/>
              </w:numPr>
              <w:tabs>
                <w:tab w:val="left" w:pos="201"/>
                <w:tab w:val="left" w:pos="626"/>
              </w:tabs>
              <w:spacing w:line="276" w:lineRule="auto"/>
              <w:ind w:left="0" w:right="31" w:firstLine="0"/>
              <w:rPr>
                <w:rFonts w:ascii="Times New Roman" w:hAnsi="Times New Roman" w:eastAsia="Times New Roman" w:cs="Times New Roman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lang w:val="ru-RU"/>
                <w14:textFill>
                  <w14:solidFill>
                    <w14:schemeClr w14:val="tx1"/>
                  </w14:solidFill>
                </w14:textFill>
              </w:rPr>
              <w:t>Требования к разработке сметной документации</w:t>
            </w:r>
          </w:p>
        </w:tc>
        <w:tc>
          <w:tcPr>
            <w:tcW w:w="6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76" w:lineRule="auto"/>
              <w:jc w:val="both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  <w:t>В течение 5 рабочих дней со дня заключения договора Подрядчик обязан предоставить на согласование Заказчику сметную документацию.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  <w:tab/>
            </w:r>
          </w:p>
          <w:p>
            <w:pPr>
              <w:spacing w:after="0" w:line="276" w:lineRule="auto"/>
              <w:jc w:val="both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  <w:t>1. Сметную документацию необходимо разрабатывать в соответствии с 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Федерации, утвержденной приказом Министерства строительства и жилищно-коммунального хозяйства Российской Федерации от 7 июля 2022 г. № 421/пр (в редакции приказа № 557)</w:t>
            </w:r>
          </w:p>
          <w:p>
            <w:pPr>
              <w:spacing w:after="0" w:line="276" w:lineRule="auto"/>
              <w:jc w:val="both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Расчет выполнить на основе сметно-нормативной базы ТСНБ-И1-Мурманск (последней редакции), с построчным пересчетом базовых цен в текущий уровень индексами изменения сметной стоимости строительно-монтажных работ, пусконаладочных работ и оборудования, публикуемых ежеквартально, или на основе Территориальной сметно-нормативной базы 2014 г. (с учетом изменений И1) с пересчетом в текущий уровень цен построчно по видам работ, с использованием индексов РЦЦС Мурманской области. </w:t>
            </w:r>
          </w:p>
          <w:p>
            <w:pPr>
              <w:spacing w:after="0" w:line="276" w:lineRule="auto"/>
              <w:jc w:val="both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  <w:t>3.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Смета предоставляется Заказчику в сметной программе «А0» (либо других программах), в формате MS Exсel, в ТЕР Мурманской области с сохранением всех функциональных взаимосвязей; </w:t>
            </w:r>
          </w:p>
          <w:p>
            <w:pPr>
              <w:spacing w:after="0" w:line="276" w:lineRule="auto"/>
              <w:jc w:val="both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  <w:t>4.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Сметная документация передается Заказчику: </w:t>
            </w:r>
          </w:p>
          <w:p>
            <w:pPr>
              <w:spacing w:after="0" w:line="276" w:lineRule="auto"/>
              <w:jc w:val="both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- на бумажном носителе в 2 экземплярах; </w:t>
            </w:r>
          </w:p>
          <w:p>
            <w:pPr>
              <w:spacing w:after="0" w:line="276" w:lineRule="auto"/>
              <w:jc w:val="both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  <w:t>- на электронном носителе в формате программы для составления смет, а также .xls (.xlsx) или .doc (.docх), с подписями и печатями.</w:t>
            </w:r>
          </w:p>
          <w:p>
            <w:pPr>
              <w:spacing w:after="0" w:line="276" w:lineRule="auto"/>
              <w:jc w:val="both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  <w:t>5. В случае ссылки в сметах на стоимость материала и оборудования по коммерческим приложениям и прайс-листам, предоставить книгу прайсов в приложении к смете и выполнить конъюнктурный анализ цен.</w:t>
            </w:r>
          </w:p>
          <w:p>
            <w:pPr>
              <w:spacing w:after="0" w:line="276" w:lineRule="auto"/>
              <w:jc w:val="both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  <w:t>6. В случае утверждения иной сметно-нормативной базы на дату подписания акта выполненных работ (ТЕР, ФЕР, ГЭСН) согласовать с заказчиком и выполнить сметный расчет в соответствии с действующими нормами.</w:t>
            </w:r>
          </w:p>
          <w:p>
            <w:pPr>
              <w:spacing w:after="0" w:line="276" w:lineRule="auto"/>
              <w:jc w:val="both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31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numPr>
                <w:ilvl w:val="0"/>
                <w:numId w:val="1"/>
              </w:numPr>
              <w:tabs>
                <w:tab w:val="left" w:pos="201"/>
              </w:tabs>
              <w:spacing w:line="276" w:lineRule="auto"/>
              <w:ind w:left="0" w:right="31" w:firstLine="0"/>
              <w:rPr>
                <w:rFonts w:ascii="Times New Roman" w:hAnsi="Times New Roman" w:eastAsia="Times New Roman" w:cs="Times New Roman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Основные требования к составу и проведению работ:</w:t>
            </w:r>
          </w:p>
        </w:tc>
        <w:tc>
          <w:tcPr>
            <w:tcW w:w="6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hd w:val="clear" w:color="auto" w:fill="FFFFFF"/>
              <w:autoSpaceDE w:val="0"/>
              <w:autoSpaceDN w:val="0"/>
              <w:spacing w:after="0" w:line="276" w:lineRule="auto"/>
              <w:ind w:left="34" w:right="57"/>
              <w:jc w:val="both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  <w:t>Выполнение работ по устройству откосов должно производиться в соответствии с требованиями СП, ГОСТ, технических правил, положений, установленных на территории Российской Федерации для данного вида работ</w:t>
            </w:r>
          </w:p>
          <w:p>
            <w:pPr>
              <w:shd w:val="clear" w:color="auto" w:fill="FFFFFF"/>
              <w:autoSpaceDE w:val="0"/>
              <w:autoSpaceDN w:val="0"/>
              <w:spacing w:after="0" w:line="276" w:lineRule="auto"/>
              <w:ind w:left="34" w:right="57"/>
              <w:jc w:val="both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  <w:t>Основные виды работ, подлежащие выполнению:</w:t>
            </w:r>
          </w:p>
          <w:tbl>
            <w:tblPr>
              <w:tblStyle w:val="3"/>
              <w:tblW w:w="6686" w:type="dxa"/>
              <w:tblInd w:w="113" w:type="dxa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569"/>
              <w:gridCol w:w="3587"/>
              <w:gridCol w:w="1113"/>
              <w:gridCol w:w="1417"/>
            </w:tblGrid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58" w:hRule="atLeast"/>
              </w:trPr>
              <w:tc>
                <w:tcPr>
                  <w:tcW w:w="57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jc w:val="center"/>
                    <w:rPr>
                      <w:rFonts w:ascii="Times New Roman" w:hAnsi="Times New Roman" w:eastAsia="Times New Roman" w:cs="Times New Roman"/>
                      <w:color w:val="000000" w:themeColor="text1"/>
                      <w:sz w:val="24"/>
                      <w:szCs w:val="24"/>
                      <w:lang w:eastAsia="ru-RU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 w:themeColor="text1"/>
                      <w:sz w:val="24"/>
                      <w:szCs w:val="24"/>
                      <w:lang w:eastAsia="ru-RU"/>
                      <w14:textFill>
                        <w14:solidFill>
                          <w14:schemeClr w14:val="tx1"/>
                        </w14:solidFill>
                      </w14:textFill>
                    </w:rPr>
                    <w:t>№ п/п</w:t>
                  </w:r>
                </w:p>
              </w:tc>
              <w:tc>
                <w:tcPr>
                  <w:tcW w:w="3706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jc w:val="center"/>
                    <w:rPr>
                      <w:rFonts w:ascii="Times New Roman" w:hAnsi="Times New Roman" w:eastAsia="Times New Roman" w:cs="Times New Roman"/>
                      <w:color w:val="000000" w:themeColor="text1"/>
                      <w:sz w:val="24"/>
                      <w:szCs w:val="24"/>
                      <w:lang w:eastAsia="ru-RU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 w:themeColor="text1"/>
                      <w:sz w:val="24"/>
                      <w:szCs w:val="24"/>
                      <w:lang w:eastAsia="ru-RU"/>
                      <w14:textFill>
                        <w14:solidFill>
                          <w14:schemeClr w14:val="tx1"/>
                        </w14:solidFill>
                      </w14:textFill>
                    </w:rPr>
                    <w:t>Наименование работ</w:t>
                  </w:r>
                </w:p>
              </w:tc>
              <w:tc>
                <w:tcPr>
                  <w:tcW w:w="1134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jc w:val="center"/>
                    <w:rPr>
                      <w:rFonts w:ascii="Times New Roman" w:hAnsi="Times New Roman" w:eastAsia="Times New Roman" w:cs="Times New Roman"/>
                      <w:color w:val="000000" w:themeColor="text1"/>
                      <w:sz w:val="24"/>
                      <w:szCs w:val="24"/>
                      <w:lang w:eastAsia="ru-RU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 w:themeColor="text1"/>
                      <w:sz w:val="24"/>
                      <w:szCs w:val="24"/>
                      <w:lang w:eastAsia="ru-RU"/>
                      <w14:textFill>
                        <w14:solidFill>
                          <w14:schemeClr w14:val="tx1"/>
                        </w14:solidFill>
                      </w14:textFill>
                    </w:rPr>
                    <w:t>Ед. изм.</w:t>
                  </w:r>
                </w:p>
              </w:tc>
              <w:tc>
                <w:tcPr>
                  <w:tcW w:w="1275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jc w:val="center"/>
                    <w:rPr>
                      <w:rFonts w:ascii="Times New Roman" w:hAnsi="Times New Roman" w:eastAsia="Times New Roman" w:cs="Times New Roman"/>
                      <w:color w:val="000000" w:themeColor="text1"/>
                      <w:sz w:val="24"/>
                      <w:szCs w:val="24"/>
                      <w:lang w:eastAsia="ru-RU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 w:themeColor="text1"/>
                      <w:sz w:val="24"/>
                      <w:szCs w:val="24"/>
                      <w:lang w:eastAsia="ru-RU"/>
                      <w14:textFill>
                        <w14:solidFill>
                          <w14:schemeClr w14:val="tx1"/>
                        </w14:solidFill>
                      </w14:textFill>
                    </w:rPr>
                    <w:t>Количество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79" w:hRule="atLeast"/>
              </w:trPr>
              <w:tc>
                <w:tcPr>
                  <w:tcW w:w="57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jc w:val="center"/>
                    <w:rPr>
                      <w:rFonts w:ascii="Times New Roman" w:hAnsi="Times New Roman" w:eastAsia="Times New Roman" w:cs="Times New Roman"/>
                      <w:color w:val="000000" w:themeColor="text1"/>
                      <w:sz w:val="24"/>
                      <w:szCs w:val="24"/>
                      <w:lang w:eastAsia="ru-RU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 w:themeColor="text1"/>
                      <w:sz w:val="24"/>
                      <w:szCs w:val="24"/>
                      <w:lang w:eastAsia="ru-RU"/>
                      <w14:textFill>
                        <w14:solidFill>
                          <w14:schemeClr w14:val="tx1"/>
                        </w14:solidFill>
                      </w14:textFill>
                    </w:rPr>
                    <w:t>1</w:t>
                  </w:r>
                </w:p>
              </w:tc>
              <w:tc>
                <w:tcPr>
                  <w:tcW w:w="3706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jc w:val="center"/>
                    <w:rPr>
                      <w:rFonts w:ascii="Times New Roman" w:hAnsi="Times New Roman" w:eastAsia="Times New Roman" w:cs="Times New Roman"/>
                      <w:color w:val="000000" w:themeColor="text1"/>
                      <w:sz w:val="24"/>
                      <w:szCs w:val="24"/>
                      <w:lang w:eastAsia="ru-RU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 w:themeColor="text1"/>
                      <w:sz w:val="24"/>
                      <w:szCs w:val="24"/>
                      <w:lang w:eastAsia="ru-RU"/>
                      <w14:textFill>
                        <w14:solidFill>
                          <w14:schemeClr w14:val="tx1"/>
                        </w14:solidFill>
                      </w14:textFill>
                    </w:rPr>
                    <w:t>Планировка откосов и полотна механизированным способом</w:t>
                  </w:r>
                </w:p>
              </w:tc>
              <w:tc>
                <w:tcPr>
                  <w:tcW w:w="1134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jc w:val="center"/>
                    <w:rPr>
                      <w:rFonts w:ascii="Times New Roman" w:hAnsi="Times New Roman" w:eastAsia="Times New Roman" w:cs="Times New Roman"/>
                      <w:color w:val="000000" w:themeColor="text1"/>
                      <w:sz w:val="24"/>
                      <w:szCs w:val="24"/>
                      <w:lang w:eastAsia="ru-RU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 w:themeColor="text1"/>
                      <w:sz w:val="24"/>
                      <w:szCs w:val="24"/>
                      <w:lang w:eastAsia="ru-RU"/>
                      <w14:textFill>
                        <w14:solidFill>
                          <w14:schemeClr w14:val="tx1"/>
                        </w14:solidFill>
                      </w14:textFill>
                    </w:rPr>
                    <w:t>м2</w:t>
                  </w:r>
                </w:p>
              </w:tc>
              <w:tc>
                <w:tcPr>
                  <w:tcW w:w="1275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jc w:val="center"/>
                    <w:rPr>
                      <w:rFonts w:ascii="Times New Roman" w:hAnsi="Times New Roman" w:eastAsia="Times New Roman" w:cs="Times New Roman"/>
                      <w:color w:val="000000" w:themeColor="text1"/>
                      <w:sz w:val="24"/>
                      <w:szCs w:val="24"/>
                      <w:lang w:eastAsia="ru-RU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 w:themeColor="text1"/>
                      <w:sz w:val="24"/>
                      <w:szCs w:val="24"/>
                      <w:lang w:eastAsia="ru-RU"/>
                      <w14:textFill>
                        <w14:solidFill>
                          <w14:schemeClr w14:val="tx1"/>
                        </w14:solidFill>
                      </w14:textFill>
                    </w:rPr>
                    <w:t>960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4" w:hRule="atLeast"/>
              </w:trPr>
              <w:tc>
                <w:tcPr>
                  <w:tcW w:w="57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jc w:val="center"/>
                    <w:rPr>
                      <w:rFonts w:ascii="Times New Roman" w:hAnsi="Times New Roman" w:eastAsia="Times New Roman" w:cs="Times New Roman"/>
                      <w:color w:val="000000" w:themeColor="text1"/>
                      <w:sz w:val="24"/>
                      <w:szCs w:val="24"/>
                      <w:lang w:eastAsia="ru-RU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 w:themeColor="text1"/>
                      <w:sz w:val="24"/>
                      <w:szCs w:val="24"/>
                      <w:lang w:eastAsia="ru-RU"/>
                      <w14:textFill>
                        <w14:solidFill>
                          <w14:schemeClr w14:val="tx1"/>
                        </w14:solidFill>
                      </w14:textFill>
                    </w:rPr>
                    <w:t>2</w:t>
                  </w:r>
                </w:p>
              </w:tc>
              <w:tc>
                <w:tcPr>
                  <w:tcW w:w="3706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jc w:val="center"/>
                    <w:rPr>
                      <w:rFonts w:ascii="Times New Roman" w:hAnsi="Times New Roman" w:eastAsia="Times New Roman" w:cs="Times New Roman"/>
                      <w:color w:val="000000" w:themeColor="text1"/>
                      <w:sz w:val="24"/>
                      <w:szCs w:val="24"/>
                      <w:lang w:eastAsia="ru-RU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 w:themeColor="text1"/>
                      <w:sz w:val="24"/>
                      <w:szCs w:val="24"/>
                      <w:lang w:eastAsia="ru-RU"/>
                      <w14:textFill>
                        <w14:solidFill>
                          <w14:schemeClr w14:val="tx1"/>
                        </w14:solidFill>
                      </w14:textFill>
                    </w:rPr>
                    <w:t>Устройство откосов из ПГС с послойным уплотнением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jc w:val="center"/>
                    <w:rPr>
                      <w:rFonts w:ascii="Times New Roman" w:hAnsi="Times New Roman" w:eastAsia="Times New Roman" w:cs="Times New Roman"/>
                      <w:color w:val="000000" w:themeColor="text1"/>
                      <w:sz w:val="24"/>
                      <w:szCs w:val="24"/>
                      <w:lang w:eastAsia="ru-RU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 w:themeColor="text1"/>
                      <w:sz w:val="24"/>
                      <w:szCs w:val="24"/>
                      <w:lang w:eastAsia="ru-RU"/>
                      <w14:textFill>
                        <w14:solidFill>
                          <w14:schemeClr w14:val="tx1"/>
                        </w14:solidFill>
                      </w14:textFill>
                    </w:rPr>
                    <w:t>м3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jc w:val="center"/>
                    <w:rPr>
                      <w:rFonts w:ascii="Times New Roman" w:hAnsi="Times New Roman" w:eastAsia="Times New Roman" w:cs="Times New Roman"/>
                      <w:color w:val="000000" w:themeColor="text1"/>
                      <w:sz w:val="24"/>
                      <w:szCs w:val="24"/>
                      <w:lang w:eastAsia="ru-RU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 w:themeColor="text1"/>
                      <w:sz w:val="24"/>
                      <w:szCs w:val="24"/>
                      <w:lang w:eastAsia="ru-RU"/>
                      <w14:textFill>
                        <w14:solidFill>
                          <w14:schemeClr w14:val="tx1"/>
                        </w14:solidFill>
                      </w14:textFill>
                    </w:rPr>
                    <w:t>450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00" w:hRule="atLeast"/>
              </w:trPr>
              <w:tc>
                <w:tcPr>
                  <w:tcW w:w="57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jc w:val="center"/>
                    <w:rPr>
                      <w:rFonts w:ascii="Times New Roman" w:hAnsi="Times New Roman" w:eastAsia="Times New Roman" w:cs="Times New Roman"/>
                      <w:color w:val="000000" w:themeColor="text1"/>
                      <w:sz w:val="24"/>
                      <w:szCs w:val="24"/>
                      <w:lang w:eastAsia="ru-RU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 w:themeColor="text1"/>
                      <w:sz w:val="24"/>
                      <w:szCs w:val="24"/>
                      <w:lang w:eastAsia="ru-RU"/>
                      <w14:textFill>
                        <w14:solidFill>
                          <w14:schemeClr w14:val="tx1"/>
                        </w14:solidFill>
                      </w14:textFill>
                    </w:rPr>
                    <w:t>3</w:t>
                  </w:r>
                </w:p>
              </w:tc>
              <w:tc>
                <w:tcPr>
                  <w:tcW w:w="3706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jc w:val="center"/>
                    <w:rPr>
                      <w:rFonts w:ascii="Times New Roman" w:hAnsi="Times New Roman" w:eastAsia="Times New Roman" w:cs="Times New Roman"/>
                      <w:color w:val="000000" w:themeColor="text1"/>
                      <w:sz w:val="24"/>
                      <w:szCs w:val="24"/>
                      <w:lang w:eastAsia="ru-RU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 w:themeColor="text1"/>
                      <w:sz w:val="24"/>
                      <w:szCs w:val="24"/>
                      <w:lang w:eastAsia="ru-RU"/>
                      <w14:textFill>
                        <w14:solidFill>
                          <w14:schemeClr w14:val="tx1"/>
                        </w14:solidFill>
                      </w14:textFill>
                    </w:rPr>
                    <w:t>Устройство бортового камня 100.30.15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jc w:val="center"/>
                    <w:rPr>
                      <w:rFonts w:ascii="Times New Roman" w:hAnsi="Times New Roman" w:eastAsia="Times New Roman" w:cs="Times New Roman"/>
                      <w:color w:val="000000" w:themeColor="text1"/>
                      <w:sz w:val="24"/>
                      <w:szCs w:val="24"/>
                      <w:lang w:eastAsia="ru-RU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 w:themeColor="text1"/>
                      <w:sz w:val="24"/>
                      <w:szCs w:val="24"/>
                      <w:lang w:eastAsia="ru-RU"/>
                      <w14:textFill>
                        <w14:solidFill>
                          <w14:schemeClr w14:val="tx1"/>
                        </w14:solidFill>
                      </w14:textFill>
                    </w:rPr>
                    <w:t>м.п.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jc w:val="center"/>
                    <w:rPr>
                      <w:rFonts w:ascii="Times New Roman" w:hAnsi="Times New Roman" w:eastAsia="Times New Roman" w:cs="Times New Roman"/>
                      <w:color w:val="000000" w:themeColor="text1"/>
                      <w:sz w:val="24"/>
                      <w:szCs w:val="24"/>
                      <w:lang w:eastAsia="ru-RU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 w:themeColor="text1"/>
                      <w:sz w:val="24"/>
                      <w:szCs w:val="24"/>
                      <w:lang w:eastAsia="ru-RU"/>
                      <w14:textFill>
                        <w14:solidFill>
                          <w14:schemeClr w14:val="tx1"/>
                        </w14:solidFill>
                      </w14:textFill>
                    </w:rPr>
                    <w:t>100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54" w:hRule="atLeast"/>
              </w:trPr>
              <w:tc>
                <w:tcPr>
                  <w:tcW w:w="57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jc w:val="center"/>
                    <w:rPr>
                      <w:rFonts w:ascii="Times New Roman" w:hAnsi="Times New Roman" w:eastAsia="Times New Roman" w:cs="Times New Roman"/>
                      <w:color w:val="000000" w:themeColor="text1"/>
                      <w:sz w:val="24"/>
                      <w:szCs w:val="24"/>
                      <w:lang w:eastAsia="ru-RU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 w:themeColor="text1"/>
                      <w:sz w:val="24"/>
                      <w:szCs w:val="24"/>
                      <w:lang w:eastAsia="ru-RU"/>
                      <w14:textFill>
                        <w14:solidFill>
                          <w14:schemeClr w14:val="tx1"/>
                        </w14:solidFill>
                      </w14:textFill>
                    </w:rPr>
                    <w:t>4</w:t>
                  </w:r>
                </w:p>
              </w:tc>
              <w:tc>
                <w:tcPr>
                  <w:tcW w:w="3706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jc w:val="center"/>
                    <w:rPr>
                      <w:rFonts w:ascii="Times New Roman" w:hAnsi="Times New Roman" w:eastAsia="Times New Roman" w:cs="Times New Roman"/>
                      <w:color w:val="000000" w:themeColor="text1"/>
                      <w:sz w:val="24"/>
                      <w:szCs w:val="24"/>
                      <w:lang w:eastAsia="ru-RU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 w:themeColor="text1"/>
                      <w:sz w:val="24"/>
                      <w:szCs w:val="24"/>
                      <w:lang w:eastAsia="ru-RU"/>
                      <w14:textFill>
                        <w14:solidFill>
                          <w14:schemeClr w14:val="tx1"/>
                        </w14:solidFill>
                      </w14:textFill>
                    </w:rPr>
                    <w:t>Монтаж нетканого геотекстиля Дорнит 200 или эквивалент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jc w:val="center"/>
                    <w:rPr>
                      <w:rFonts w:ascii="Times New Roman" w:hAnsi="Times New Roman" w:eastAsia="Times New Roman" w:cs="Times New Roman"/>
                      <w:color w:val="000000" w:themeColor="text1"/>
                      <w:sz w:val="24"/>
                      <w:szCs w:val="24"/>
                      <w:lang w:eastAsia="ru-RU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 w:themeColor="text1"/>
                      <w:sz w:val="24"/>
                      <w:szCs w:val="24"/>
                      <w:lang w:eastAsia="ru-RU"/>
                      <w14:textFill>
                        <w14:solidFill>
                          <w14:schemeClr w14:val="tx1"/>
                        </w14:solidFill>
                      </w14:textFill>
                    </w:rPr>
                    <w:t>м2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jc w:val="center"/>
                    <w:rPr>
                      <w:rFonts w:ascii="Times New Roman" w:hAnsi="Times New Roman" w:eastAsia="Times New Roman" w:cs="Times New Roman"/>
                      <w:color w:val="000000" w:themeColor="text1"/>
                      <w:sz w:val="24"/>
                      <w:szCs w:val="24"/>
                      <w:lang w:eastAsia="ru-RU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 w:themeColor="text1"/>
                      <w:sz w:val="24"/>
                      <w:szCs w:val="24"/>
                      <w:lang w:eastAsia="ru-RU"/>
                      <w14:textFill>
                        <w14:solidFill>
                          <w14:schemeClr w14:val="tx1"/>
                        </w14:solidFill>
                      </w14:textFill>
                    </w:rPr>
                    <w:t>210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64" w:hRule="atLeast"/>
              </w:trPr>
              <w:tc>
                <w:tcPr>
                  <w:tcW w:w="57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jc w:val="center"/>
                    <w:rPr>
                      <w:rFonts w:ascii="Times New Roman" w:hAnsi="Times New Roman" w:eastAsia="Times New Roman" w:cs="Times New Roman"/>
                      <w:color w:val="000000" w:themeColor="text1"/>
                      <w:sz w:val="24"/>
                      <w:szCs w:val="24"/>
                      <w:lang w:eastAsia="ru-RU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 w:themeColor="text1"/>
                      <w:sz w:val="24"/>
                      <w:szCs w:val="24"/>
                      <w:lang w:eastAsia="ru-RU"/>
                      <w14:textFill>
                        <w14:solidFill>
                          <w14:schemeClr w14:val="tx1"/>
                        </w14:solidFill>
                      </w14:textFill>
                    </w:rPr>
                    <w:t>5</w:t>
                  </w:r>
                </w:p>
              </w:tc>
              <w:tc>
                <w:tcPr>
                  <w:tcW w:w="3706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jc w:val="center"/>
                    <w:rPr>
                      <w:rFonts w:ascii="Times New Roman" w:hAnsi="Times New Roman" w:eastAsia="Times New Roman" w:cs="Times New Roman"/>
                      <w:color w:val="000000" w:themeColor="text1"/>
                      <w:sz w:val="24"/>
                      <w:szCs w:val="24"/>
                      <w:lang w:eastAsia="ru-RU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 w:themeColor="text1"/>
                      <w:sz w:val="24"/>
                      <w:szCs w:val="24"/>
                      <w:lang w:eastAsia="ru-RU"/>
                      <w14:textFill>
                        <w14:solidFill>
                          <w14:schemeClr w14:val="tx1"/>
                        </w14:solidFill>
                      </w14:textFill>
                    </w:rPr>
                    <w:t>Монтаж георешетки высотой 15 см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jc w:val="center"/>
                    <w:rPr>
                      <w:rFonts w:ascii="Times New Roman" w:hAnsi="Times New Roman" w:eastAsia="Times New Roman" w:cs="Times New Roman"/>
                      <w:color w:val="000000" w:themeColor="text1"/>
                      <w:sz w:val="24"/>
                      <w:szCs w:val="24"/>
                      <w:lang w:eastAsia="ru-RU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 w:themeColor="text1"/>
                      <w:sz w:val="24"/>
                      <w:szCs w:val="24"/>
                      <w:lang w:eastAsia="ru-RU"/>
                      <w14:textFill>
                        <w14:solidFill>
                          <w14:schemeClr w14:val="tx1"/>
                        </w14:solidFill>
                      </w14:textFill>
                    </w:rPr>
                    <w:t>м2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jc w:val="center"/>
                    <w:rPr>
                      <w:rFonts w:ascii="Times New Roman" w:hAnsi="Times New Roman" w:eastAsia="Times New Roman" w:cs="Times New Roman"/>
                      <w:color w:val="000000" w:themeColor="text1"/>
                      <w:sz w:val="24"/>
                      <w:szCs w:val="24"/>
                      <w:lang w:eastAsia="ru-RU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 w:themeColor="text1"/>
                      <w:sz w:val="24"/>
                      <w:szCs w:val="24"/>
                      <w:lang w:eastAsia="ru-RU"/>
                      <w14:textFill>
                        <w14:solidFill>
                          <w14:schemeClr w14:val="tx1"/>
                        </w14:solidFill>
                      </w14:textFill>
                    </w:rPr>
                    <w:t>210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00" w:hRule="atLeast"/>
              </w:trPr>
              <w:tc>
                <w:tcPr>
                  <w:tcW w:w="57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jc w:val="center"/>
                    <w:rPr>
                      <w:rFonts w:ascii="Times New Roman" w:hAnsi="Times New Roman" w:eastAsia="Times New Roman" w:cs="Times New Roman"/>
                      <w:color w:val="000000" w:themeColor="text1"/>
                      <w:sz w:val="24"/>
                      <w:szCs w:val="24"/>
                      <w:lang w:eastAsia="ru-RU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 w:themeColor="text1"/>
                      <w:sz w:val="24"/>
                      <w:szCs w:val="24"/>
                      <w:lang w:eastAsia="ru-RU"/>
                      <w14:textFill>
                        <w14:solidFill>
                          <w14:schemeClr w14:val="tx1"/>
                        </w14:solidFill>
                      </w14:textFill>
                    </w:rPr>
                    <w:t>6</w:t>
                  </w:r>
                </w:p>
              </w:tc>
              <w:tc>
                <w:tcPr>
                  <w:tcW w:w="3706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jc w:val="center"/>
                    <w:rPr>
                      <w:rFonts w:ascii="Times New Roman" w:hAnsi="Times New Roman" w:eastAsia="Times New Roman" w:cs="Times New Roman"/>
                      <w:color w:val="000000" w:themeColor="text1"/>
                      <w:sz w:val="24"/>
                      <w:szCs w:val="24"/>
                      <w:lang w:eastAsia="ru-RU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 w:themeColor="text1"/>
                      <w:sz w:val="24"/>
                      <w:szCs w:val="24"/>
                      <w:lang w:eastAsia="ru-RU"/>
                      <w14:textFill>
                        <w14:solidFill>
                          <w14:schemeClr w14:val="tx1"/>
                        </w14:solidFill>
                      </w14:textFill>
                    </w:rPr>
                    <w:t>Устройство плодородного грунта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jc w:val="center"/>
                    <w:rPr>
                      <w:rFonts w:ascii="Times New Roman" w:hAnsi="Times New Roman" w:eastAsia="Times New Roman" w:cs="Times New Roman"/>
                      <w:color w:val="000000" w:themeColor="text1"/>
                      <w:sz w:val="24"/>
                      <w:szCs w:val="24"/>
                      <w:lang w:eastAsia="ru-RU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 w:themeColor="text1"/>
                      <w:sz w:val="24"/>
                      <w:szCs w:val="24"/>
                      <w:lang w:eastAsia="ru-RU"/>
                      <w14:textFill>
                        <w14:solidFill>
                          <w14:schemeClr w14:val="tx1"/>
                        </w14:solidFill>
                      </w14:textFill>
                    </w:rPr>
                    <w:t>м2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jc w:val="center"/>
                    <w:rPr>
                      <w:rFonts w:ascii="Times New Roman" w:hAnsi="Times New Roman" w:eastAsia="Times New Roman" w:cs="Times New Roman"/>
                      <w:color w:val="000000" w:themeColor="text1"/>
                      <w:sz w:val="24"/>
                      <w:szCs w:val="24"/>
                      <w:lang w:eastAsia="ru-RU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 w:themeColor="text1"/>
                      <w:sz w:val="24"/>
                      <w:szCs w:val="24"/>
                      <w:lang w:eastAsia="ru-RU"/>
                      <w14:textFill>
                        <w14:solidFill>
                          <w14:schemeClr w14:val="tx1"/>
                        </w14:solidFill>
                      </w14:textFill>
                    </w:rPr>
                    <w:t>210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00" w:hRule="atLeast"/>
              </w:trPr>
              <w:tc>
                <w:tcPr>
                  <w:tcW w:w="57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jc w:val="center"/>
                    <w:rPr>
                      <w:rFonts w:ascii="Times New Roman" w:hAnsi="Times New Roman" w:eastAsia="Times New Roman" w:cs="Times New Roman"/>
                      <w:color w:val="000000" w:themeColor="text1"/>
                      <w:sz w:val="24"/>
                      <w:szCs w:val="24"/>
                      <w:lang w:eastAsia="ru-RU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 w:themeColor="text1"/>
                      <w:sz w:val="24"/>
                      <w:szCs w:val="24"/>
                      <w:lang w:eastAsia="ru-RU"/>
                      <w14:textFill>
                        <w14:solidFill>
                          <w14:schemeClr w14:val="tx1"/>
                        </w14:solidFill>
                      </w14:textFill>
                    </w:rPr>
                    <w:t>7</w:t>
                  </w:r>
                </w:p>
              </w:tc>
              <w:tc>
                <w:tcPr>
                  <w:tcW w:w="3706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jc w:val="center"/>
                    <w:rPr>
                      <w:rFonts w:ascii="Times New Roman" w:hAnsi="Times New Roman" w:eastAsia="Times New Roman" w:cs="Times New Roman"/>
                      <w:color w:val="000000" w:themeColor="text1"/>
                      <w:sz w:val="24"/>
                      <w:szCs w:val="24"/>
                      <w:lang w:eastAsia="ru-RU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 w:themeColor="text1"/>
                      <w:sz w:val="24"/>
                      <w:szCs w:val="24"/>
                      <w:lang w:eastAsia="ru-RU"/>
                      <w14:textFill>
                        <w14:solidFill>
                          <w14:schemeClr w14:val="tx1"/>
                        </w14:solidFill>
                      </w14:textFill>
                    </w:rPr>
                    <w:t>Посев газона (с внесением растительной земли)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jc w:val="center"/>
                    <w:rPr>
                      <w:rFonts w:ascii="Times New Roman" w:hAnsi="Times New Roman" w:eastAsia="Times New Roman" w:cs="Times New Roman"/>
                      <w:color w:val="000000" w:themeColor="text1"/>
                      <w:sz w:val="24"/>
                      <w:szCs w:val="24"/>
                      <w:lang w:eastAsia="ru-RU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 w:themeColor="text1"/>
                      <w:sz w:val="24"/>
                      <w:szCs w:val="24"/>
                      <w:lang w:eastAsia="ru-RU"/>
                      <w14:textFill>
                        <w14:solidFill>
                          <w14:schemeClr w14:val="tx1"/>
                        </w14:solidFill>
                      </w14:textFill>
                    </w:rPr>
                    <w:t>м2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jc w:val="center"/>
                    <w:rPr>
                      <w:rFonts w:ascii="Times New Roman" w:hAnsi="Times New Roman" w:eastAsia="Times New Roman" w:cs="Times New Roman"/>
                      <w:color w:val="000000" w:themeColor="text1"/>
                      <w:sz w:val="24"/>
                      <w:szCs w:val="24"/>
                      <w:lang w:eastAsia="ru-RU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 w:themeColor="text1"/>
                      <w:sz w:val="24"/>
                      <w:szCs w:val="24"/>
                      <w:lang w:eastAsia="ru-RU"/>
                      <w14:textFill>
                        <w14:solidFill>
                          <w14:schemeClr w14:val="tx1"/>
                        </w14:solidFill>
                      </w14:textFill>
                    </w:rPr>
                    <w:t>210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0" w:hRule="atLeast"/>
              </w:trPr>
              <w:tc>
                <w:tcPr>
                  <w:tcW w:w="57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jc w:val="center"/>
                    <w:rPr>
                      <w:rFonts w:ascii="Times New Roman" w:hAnsi="Times New Roman" w:eastAsia="Times New Roman" w:cs="Times New Roman"/>
                      <w:color w:val="000000" w:themeColor="text1"/>
                      <w:sz w:val="24"/>
                      <w:szCs w:val="24"/>
                      <w:lang w:eastAsia="ru-RU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 w:themeColor="text1"/>
                      <w:sz w:val="24"/>
                      <w:szCs w:val="24"/>
                      <w:lang w:eastAsia="ru-RU"/>
                      <w14:textFill>
                        <w14:solidFill>
                          <w14:schemeClr w14:val="tx1"/>
                        </w14:solidFill>
                      </w14:textFill>
                    </w:rPr>
                    <w:t>8</w:t>
                  </w:r>
                </w:p>
              </w:tc>
              <w:tc>
                <w:tcPr>
                  <w:tcW w:w="3706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jc w:val="center"/>
                    <w:rPr>
                      <w:rFonts w:ascii="Times New Roman" w:hAnsi="Times New Roman" w:eastAsia="Times New Roman" w:cs="Times New Roman"/>
                      <w:color w:val="000000" w:themeColor="text1"/>
                      <w:sz w:val="24"/>
                      <w:szCs w:val="24"/>
                      <w:lang w:eastAsia="ru-RU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 w:themeColor="text1"/>
                      <w:sz w:val="24"/>
                      <w:szCs w:val="24"/>
                      <w:lang w:eastAsia="ru-RU"/>
                      <w14:textFill>
                        <w14:solidFill>
                          <w14:schemeClr w14:val="tx1"/>
                        </w14:solidFill>
                      </w14:textFill>
                    </w:rPr>
                    <w:t>Погрузо-разгрузочные работы при автомобильных перевозках.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jc w:val="center"/>
                    <w:rPr>
                      <w:rFonts w:ascii="Times New Roman" w:hAnsi="Times New Roman" w:eastAsia="Times New Roman" w:cs="Times New Roman"/>
                      <w:color w:val="000000" w:themeColor="text1"/>
                      <w:sz w:val="24"/>
                      <w:szCs w:val="24"/>
                      <w:lang w:eastAsia="ru-RU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 w:themeColor="text1"/>
                      <w:sz w:val="24"/>
                      <w:szCs w:val="24"/>
                      <w:lang w:eastAsia="ru-RU"/>
                      <w14:textFill>
                        <w14:solidFill>
                          <w14:schemeClr w14:val="tx1"/>
                        </w14:solidFill>
                      </w14:textFill>
                    </w:rPr>
                    <w:t>1 т груза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jc w:val="center"/>
                    <w:rPr>
                      <w:rFonts w:ascii="Times New Roman" w:hAnsi="Times New Roman" w:eastAsia="Times New Roman" w:cs="Times New Roman"/>
                      <w:color w:val="000000" w:themeColor="text1"/>
                      <w:sz w:val="24"/>
                      <w:szCs w:val="24"/>
                      <w:lang w:eastAsia="ru-RU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 w:themeColor="text1"/>
                      <w:sz w:val="24"/>
                      <w:szCs w:val="24"/>
                      <w:lang w:eastAsia="ru-RU"/>
                      <w14:textFill>
                        <w14:solidFill>
                          <w14:schemeClr w14:val="tx1"/>
                        </w14:solidFill>
                      </w14:textFill>
                    </w:rPr>
                    <w:t>259,04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50" w:hRule="atLeast"/>
              </w:trPr>
              <w:tc>
                <w:tcPr>
                  <w:tcW w:w="57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jc w:val="center"/>
                    <w:rPr>
                      <w:rFonts w:ascii="Times New Roman" w:hAnsi="Times New Roman" w:eastAsia="Times New Roman" w:cs="Times New Roman"/>
                      <w:color w:val="000000" w:themeColor="text1"/>
                      <w:sz w:val="24"/>
                      <w:szCs w:val="24"/>
                      <w:lang w:eastAsia="ru-RU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 w:themeColor="text1"/>
                      <w:sz w:val="24"/>
                      <w:szCs w:val="24"/>
                      <w:lang w:eastAsia="ru-RU"/>
                      <w14:textFill>
                        <w14:solidFill>
                          <w14:schemeClr w14:val="tx1"/>
                        </w14:solidFill>
                      </w14:textFill>
                    </w:rPr>
                    <w:t>9</w:t>
                  </w:r>
                </w:p>
              </w:tc>
              <w:tc>
                <w:tcPr>
                  <w:tcW w:w="3706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jc w:val="center"/>
                    <w:rPr>
                      <w:rFonts w:ascii="Times New Roman" w:hAnsi="Times New Roman" w:eastAsia="Times New Roman" w:cs="Times New Roman"/>
                      <w:color w:val="000000" w:themeColor="text1"/>
                      <w:sz w:val="24"/>
                      <w:szCs w:val="24"/>
                      <w:lang w:eastAsia="ru-RU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 w:themeColor="text1"/>
                      <w:sz w:val="24"/>
                      <w:szCs w:val="24"/>
                      <w:lang w:eastAsia="ru-RU"/>
                      <w14:textFill>
                        <w14:solidFill>
                          <w14:schemeClr w14:val="tx1"/>
                        </w14:solidFill>
                      </w14:textFill>
                    </w:rPr>
                    <w:t>Перевозка грузов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jc w:val="center"/>
                    <w:rPr>
                      <w:rFonts w:ascii="Times New Roman" w:hAnsi="Times New Roman" w:eastAsia="Times New Roman" w:cs="Times New Roman"/>
                      <w:color w:val="000000" w:themeColor="text1"/>
                      <w:sz w:val="24"/>
                      <w:szCs w:val="24"/>
                      <w:lang w:eastAsia="ru-RU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 w:themeColor="text1"/>
                      <w:sz w:val="24"/>
                      <w:szCs w:val="24"/>
                      <w:lang w:eastAsia="ru-RU"/>
                      <w14:textFill>
                        <w14:solidFill>
                          <w14:schemeClr w14:val="tx1"/>
                        </w14:solidFill>
                      </w14:textFill>
                    </w:rPr>
                    <w:t>1 т груза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jc w:val="center"/>
                    <w:rPr>
                      <w:rFonts w:ascii="Times New Roman" w:hAnsi="Times New Roman" w:eastAsia="Times New Roman" w:cs="Times New Roman"/>
                      <w:color w:val="000000" w:themeColor="text1"/>
                      <w:sz w:val="24"/>
                      <w:szCs w:val="24"/>
                      <w:lang w:eastAsia="ru-RU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 w:themeColor="text1"/>
                      <w:sz w:val="24"/>
                      <w:szCs w:val="24"/>
                      <w:lang w:eastAsia="ru-RU"/>
                      <w14:textFill>
                        <w14:solidFill>
                          <w14:schemeClr w14:val="tx1"/>
                        </w14:solidFill>
                      </w14:textFill>
                    </w:rPr>
                    <w:t>259,04</w:t>
                  </w:r>
                </w:p>
              </w:tc>
            </w:tr>
          </w:tbl>
          <w:p>
            <w:pPr>
              <w:shd w:val="clear" w:color="auto" w:fill="FFFFFF"/>
              <w:autoSpaceDE w:val="0"/>
              <w:autoSpaceDN w:val="0"/>
              <w:spacing w:after="0" w:line="276" w:lineRule="auto"/>
              <w:ind w:left="34" w:right="57"/>
              <w:jc w:val="both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  <w:t>Работы должны выполняться в соответствии с указаниями:</w:t>
            </w:r>
          </w:p>
          <w:p>
            <w:pPr>
              <w:shd w:val="clear" w:color="auto" w:fill="FFFFFF"/>
              <w:autoSpaceDE w:val="0"/>
              <w:autoSpaceDN w:val="0"/>
              <w:spacing w:after="0" w:line="276" w:lineRule="auto"/>
              <w:ind w:left="34" w:right="57"/>
              <w:jc w:val="both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- Правила внешнего благоустройства муниципального образования город Мурманск с подведомственной территорией, утвержденных решением Совета депутатов г. Мурманск;  </w:t>
            </w:r>
          </w:p>
          <w:p>
            <w:pPr>
              <w:shd w:val="clear" w:color="auto" w:fill="FFFFFF"/>
              <w:autoSpaceDE w:val="0"/>
              <w:autoSpaceDN w:val="0"/>
              <w:spacing w:after="0" w:line="276" w:lineRule="auto"/>
              <w:ind w:left="34" w:right="57"/>
              <w:jc w:val="both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  <w:t>- СП 20.13330.2016 «Нагрузки и воздействия».</w:t>
            </w:r>
          </w:p>
          <w:p>
            <w:pPr>
              <w:shd w:val="clear" w:color="auto" w:fill="FFFFFF"/>
              <w:autoSpaceDE w:val="0"/>
              <w:autoSpaceDN w:val="0"/>
              <w:spacing w:after="0" w:line="276" w:lineRule="auto"/>
              <w:ind w:left="34" w:right="57"/>
              <w:jc w:val="both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  <w:t>- СП 48.13330.2019 «Организация строительства».</w:t>
            </w:r>
          </w:p>
          <w:p>
            <w:pPr>
              <w:shd w:val="clear" w:color="auto" w:fill="FFFFFF"/>
              <w:autoSpaceDE w:val="0"/>
              <w:autoSpaceDN w:val="0"/>
              <w:spacing w:after="0" w:line="276" w:lineRule="auto"/>
              <w:ind w:left="34" w:right="57"/>
              <w:jc w:val="both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- СП 63.13330.2018 «Бетонные и железобетонные конструкции». </w:t>
            </w:r>
          </w:p>
          <w:p>
            <w:pPr>
              <w:shd w:val="clear" w:color="auto" w:fill="FFFFFF"/>
              <w:autoSpaceDE w:val="0"/>
              <w:autoSpaceDN w:val="0"/>
              <w:spacing w:after="0" w:line="276" w:lineRule="auto"/>
              <w:ind w:left="34" w:right="57"/>
              <w:jc w:val="both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- СП 70.13330.2012 «Несущие и ограждающие конструкции». </w:t>
            </w:r>
          </w:p>
          <w:p>
            <w:pPr>
              <w:shd w:val="clear" w:color="auto" w:fill="FFFFFF"/>
              <w:autoSpaceDE w:val="0"/>
              <w:autoSpaceDN w:val="0"/>
              <w:spacing w:after="0" w:line="276" w:lineRule="auto"/>
              <w:ind w:left="34" w:right="57"/>
              <w:jc w:val="both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  <w:t>- ГОСТ 12.3.003-86 «Система стандартов безопасности труда (ССБТ). Работы электросварочные. Требования безопасности (с Изменением N 1)»;</w:t>
            </w:r>
          </w:p>
          <w:p>
            <w:pPr>
              <w:shd w:val="clear" w:color="auto" w:fill="FFFFFF"/>
              <w:autoSpaceDE w:val="0"/>
              <w:autoSpaceDN w:val="0"/>
              <w:spacing w:after="0" w:line="276" w:lineRule="auto"/>
              <w:ind w:left="34" w:right="57"/>
              <w:jc w:val="both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  <w:t>- СНиП 12-03-2001 «Безопасность труда в строительстве. Ч.1.»;</w:t>
            </w:r>
          </w:p>
          <w:p>
            <w:pPr>
              <w:shd w:val="clear" w:color="auto" w:fill="FFFFFF"/>
              <w:autoSpaceDE w:val="0"/>
              <w:autoSpaceDN w:val="0"/>
              <w:spacing w:after="0" w:line="276" w:lineRule="auto"/>
              <w:ind w:left="34" w:right="57"/>
              <w:jc w:val="both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  <w:t>- СНиП 12-03-2001 «Безопасность труда в Строительстве»;</w:t>
            </w:r>
          </w:p>
          <w:p>
            <w:pPr>
              <w:shd w:val="clear" w:color="auto" w:fill="FFFFFF"/>
              <w:autoSpaceDE w:val="0"/>
              <w:autoSpaceDN w:val="0"/>
              <w:spacing w:after="0" w:line="276" w:lineRule="auto"/>
              <w:ind w:left="34" w:right="57"/>
              <w:jc w:val="both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  <w:t>- СП 71.13330.2017 «Изоляционные и отделочные работы»;</w:t>
            </w:r>
          </w:p>
          <w:p>
            <w:pPr>
              <w:shd w:val="clear" w:color="auto" w:fill="FFFFFF"/>
              <w:autoSpaceDE w:val="0"/>
              <w:autoSpaceDN w:val="0"/>
              <w:spacing w:after="0" w:line="276" w:lineRule="auto"/>
              <w:ind w:left="34" w:right="57"/>
              <w:jc w:val="both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  <w:t>- ГОСТ 34614.1-2019 «Оборудование и покрытия игровых площадок».</w:t>
            </w:r>
          </w:p>
          <w:p>
            <w:pPr>
              <w:shd w:val="clear" w:color="auto" w:fill="FFFFFF"/>
              <w:autoSpaceDE w:val="0"/>
              <w:autoSpaceDN w:val="0"/>
              <w:spacing w:after="0" w:line="276" w:lineRule="auto"/>
              <w:ind w:left="34" w:right="57"/>
              <w:jc w:val="both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  <w:t>- СП 58.13330.2019 «Свод правил. Гидротехнические сооружения. Основные положения. СНиП 33-01-2003»</w:t>
            </w:r>
          </w:p>
          <w:p>
            <w:pPr>
              <w:shd w:val="clear" w:color="auto" w:fill="FFFFFF"/>
              <w:autoSpaceDE w:val="0"/>
              <w:autoSpaceDN w:val="0"/>
              <w:spacing w:after="0" w:line="276" w:lineRule="auto"/>
              <w:ind w:left="34" w:right="57"/>
              <w:jc w:val="both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  <w:t>- СП 45.13330.2017 «Свод правил. Земляные сооружения, основания и фундаменты. Актуализированная редакция СНиП 3.02.01-87»</w:t>
            </w:r>
          </w:p>
          <w:p>
            <w:pPr>
              <w:shd w:val="clear" w:color="auto" w:fill="FFFFFF"/>
              <w:autoSpaceDE w:val="0"/>
              <w:autoSpaceDN w:val="0"/>
              <w:spacing w:after="0" w:line="276" w:lineRule="auto"/>
              <w:ind w:left="34" w:right="57"/>
              <w:jc w:val="both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- СП 23.13330.2018 «Свод правил. Основания гидротехнических сооружений. Актуализированная редакция СНиП 2.02.02-85» </w:t>
            </w:r>
          </w:p>
          <w:p>
            <w:pPr>
              <w:shd w:val="clear" w:color="auto" w:fill="FFFFFF"/>
              <w:autoSpaceDE w:val="0"/>
              <w:autoSpaceDN w:val="0"/>
              <w:spacing w:after="0" w:line="276" w:lineRule="auto"/>
              <w:ind w:left="34" w:right="57"/>
              <w:jc w:val="both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  <w:t>- СП 104.13330.2016 «Свод правил. Инженерная защита территории от затопления и подтопления. Актуализированная редакция СНиП 2.06.15-85»</w:t>
            </w:r>
          </w:p>
          <w:p>
            <w:pPr>
              <w:shd w:val="clear" w:color="auto" w:fill="FFFFFF"/>
              <w:autoSpaceDE w:val="0"/>
              <w:autoSpaceDN w:val="0"/>
              <w:spacing w:after="0" w:line="276" w:lineRule="auto"/>
              <w:ind w:left="34" w:right="57"/>
              <w:jc w:val="both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  <w:t>- СНиП 3.06.03-85 п.4.30 «Строительные нормы и правила автомобильные дороги»</w:t>
            </w:r>
          </w:p>
          <w:p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  <w:t>- Правила создания, охраны и содержания зеленых насаждений в городах российской федерации</w:t>
            </w:r>
          </w:p>
          <w:p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  <w:t>- ОДМ 218.3.032-2013 «Методические рекомендации по</w:t>
            </w:r>
          </w:p>
          <w:p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  <w:t>усилению конструктивных элементов автомобильных дорог пространственными георешетками (геосотами)» МДС 13-5.2000</w:t>
            </w:r>
          </w:p>
          <w:p>
            <w:pPr>
              <w:shd w:val="clear" w:color="auto" w:fill="FFFFFF"/>
              <w:autoSpaceDE w:val="0"/>
              <w:autoSpaceDN w:val="0"/>
              <w:spacing w:after="0" w:line="276" w:lineRule="auto"/>
              <w:ind w:left="34" w:right="57"/>
              <w:jc w:val="both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- Федеральный закон </w:t>
            </w:r>
            <w:r>
              <w:fldChar w:fldCharType="begin"/>
            </w:r>
            <w:r>
              <w:instrText xml:space="preserve"> HYPERLINK "kodeks://link/d?nd=902111644" </w:instrText>
            </w:r>
            <w:r>
              <w:fldChar w:fldCharType="separate"/>
            </w:r>
            <w:r>
              <w:t>от 22.07.2008 N 123-ФЗ</w:t>
            </w:r>
            <w:r>
              <w:fldChar w:fldCharType="end"/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 "Технический регламент о требованиях пожарной безопасности"</w:t>
            </w:r>
          </w:p>
          <w:p>
            <w:pPr>
              <w:shd w:val="clear" w:color="auto" w:fill="FFFFFF"/>
              <w:autoSpaceDE w:val="0"/>
              <w:autoSpaceDN w:val="0"/>
              <w:spacing w:after="0" w:line="276" w:lineRule="auto"/>
              <w:ind w:left="34" w:right="57"/>
              <w:jc w:val="both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- Федеральный закон </w:t>
            </w:r>
            <w:r>
              <w:fldChar w:fldCharType="begin"/>
            </w:r>
            <w:r>
              <w:instrText xml:space="preserve"> HYPERLINK "kodeks://link/d?nd=901808297" </w:instrText>
            </w:r>
            <w:r>
              <w:fldChar w:fldCharType="separate"/>
            </w:r>
            <w:r>
              <w:t>от 10.01.2002г. № 7-ФЗ</w:t>
            </w:r>
            <w:r>
              <w:fldChar w:fldCharType="end"/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 «Об охране окружающей среды;</w:t>
            </w:r>
          </w:p>
          <w:p>
            <w:pPr>
              <w:shd w:val="clear" w:color="auto" w:fill="FFFFFF"/>
              <w:autoSpaceDE w:val="0"/>
              <w:autoSpaceDN w:val="0"/>
              <w:spacing w:after="0" w:line="276" w:lineRule="auto"/>
              <w:ind w:left="34" w:right="57"/>
              <w:jc w:val="both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- Постановление Госстроя РФ </w:t>
            </w:r>
            <w:r>
              <w:fldChar w:fldCharType="begin"/>
            </w:r>
            <w:r>
              <w:instrText xml:space="preserve"> HYPERLINK "kodeks://link/d?nd=901794520" </w:instrText>
            </w:r>
            <w:r>
              <w:fldChar w:fldCharType="separate"/>
            </w:r>
            <w:r>
              <w:t>от 23.07.2001 N 80</w:t>
            </w:r>
            <w:r>
              <w:fldChar w:fldCharType="end"/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 "О принятии строительных норм и правил Российской Федерации "Безопасность труда в строительстве. Часть 1. Общие требования. </w:t>
            </w:r>
            <w:r>
              <w:fldChar w:fldCharType="begin"/>
            </w:r>
            <w:r>
              <w:instrText xml:space="preserve"> HYPERLINK "kodeks://link/d?nd=901794520" </w:instrText>
            </w:r>
            <w:r>
              <w:fldChar w:fldCharType="separate"/>
            </w:r>
            <w:r>
              <w:t>СНиП 12-03-2001</w:t>
            </w:r>
            <w:r>
              <w:fldChar w:fldCharType="end"/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" </w:t>
            </w:r>
          </w:p>
          <w:p>
            <w:pPr>
              <w:shd w:val="clear" w:color="auto" w:fill="FFFFFF"/>
              <w:autoSpaceDE w:val="0"/>
              <w:autoSpaceDN w:val="0"/>
              <w:spacing w:after="0" w:line="276" w:lineRule="auto"/>
              <w:ind w:left="34" w:right="57"/>
              <w:jc w:val="both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- Постановление Госстроя России </w:t>
            </w:r>
            <w:r>
              <w:fldChar w:fldCharType="begin"/>
            </w:r>
            <w:r>
              <w:instrText xml:space="preserve"> HYPERLINK "kodeks://link/d?nd=901829466" </w:instrText>
            </w:r>
            <w:r>
              <w:fldChar w:fldCharType="separate"/>
            </w:r>
            <w:r>
              <w:t>от 17.09.2002 N 123</w:t>
            </w:r>
            <w:r>
              <w:fldChar w:fldCharType="end"/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 "О принятии строительных норм и правил Российской Федерации "Безопасность труда в строительстве. Часть 2. Строительное производство. </w:t>
            </w:r>
            <w:r>
              <w:fldChar w:fldCharType="begin"/>
            </w:r>
            <w:r>
              <w:instrText xml:space="preserve"> HYPERLINK "kodeks://link/d?nd=901829466" </w:instrText>
            </w:r>
            <w:r>
              <w:fldChar w:fldCharType="separate"/>
            </w:r>
            <w:r>
              <w:t>СНиП 12-04-2002</w:t>
            </w:r>
            <w:r>
              <w:fldChar w:fldCharType="end"/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  <w:t>"</w:t>
            </w:r>
          </w:p>
          <w:p>
            <w:pPr>
              <w:shd w:val="clear" w:color="auto" w:fill="FFFFFF"/>
              <w:autoSpaceDE w:val="0"/>
              <w:autoSpaceDN w:val="0"/>
              <w:spacing w:after="0" w:line="276" w:lineRule="auto"/>
              <w:ind w:left="34" w:right="57"/>
              <w:jc w:val="both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В период выполнения договорных обязательств обеспечивать высокое качество работ, привлекать компетентный технический персонал с необходимыми допусками и разрешениями, использовать качественные и исправные инструменты. </w:t>
            </w:r>
          </w:p>
          <w:p>
            <w:pPr>
              <w:shd w:val="clear" w:color="auto" w:fill="FFFFFF"/>
              <w:autoSpaceDE w:val="0"/>
              <w:autoSpaceDN w:val="0"/>
              <w:spacing w:after="0" w:line="276" w:lineRule="auto"/>
              <w:ind w:left="34" w:right="57"/>
              <w:jc w:val="both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  <w:t>В случае возникновения обстоятельств, замедляющих ход работ, Подрядчик обязан немедленно поставить в известность Заказчика.</w:t>
            </w:r>
          </w:p>
          <w:p>
            <w:pPr>
              <w:shd w:val="clear" w:color="auto" w:fill="FFFFFF"/>
              <w:autoSpaceDE w:val="0"/>
              <w:autoSpaceDN w:val="0"/>
              <w:spacing w:after="0" w:line="276" w:lineRule="auto"/>
              <w:ind w:left="34" w:right="57"/>
              <w:jc w:val="both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  <w:t>Подрядчик обязан следовать указаниям Заказчика при производстве работ, устранять по требованию Заказчика недостатки и дефекты в работе.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numPr>
                <w:ilvl w:val="0"/>
                <w:numId w:val="1"/>
              </w:numPr>
              <w:tabs>
                <w:tab w:val="left" w:pos="201"/>
              </w:tabs>
              <w:spacing w:line="276" w:lineRule="auto"/>
              <w:ind w:left="0" w:right="31" w:firstLine="0"/>
              <w:jc w:val="both"/>
              <w:rPr>
                <w:rFonts w:ascii="Times New Roman" w:hAnsi="Times New Roman" w:eastAsia="Times New Roman" w:cs="Times New Roman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Требования к организации работ: </w:t>
            </w:r>
          </w:p>
        </w:tc>
        <w:tc>
          <w:tcPr>
            <w:tcW w:w="6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76" w:lineRule="auto"/>
              <w:jc w:val="both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  <w:t>Работы выполняются в соответствии с Техническим заданием - силами и средствами Подрядчика и/или силами и средствами привлеченных Подрядчиком субподрядчиков.</w:t>
            </w:r>
          </w:p>
          <w:p>
            <w:pPr>
              <w:spacing w:after="0" w:line="276" w:lineRule="auto"/>
              <w:jc w:val="both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  <w:t>Закрепление приказом ответственного лица от Подрядчика при выполнении работ на объекте и за решение всех вопросов, возникающих в процессе производства работ.</w:t>
            </w:r>
          </w:p>
          <w:p>
            <w:pPr>
              <w:spacing w:after="0" w:line="276" w:lineRule="auto"/>
              <w:jc w:val="both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  <w:t>Обеспечение производства и качества выполнения работ в соответствии с требованиями действующих норм и правил, техническими условиями, устанавливаемыми в отношении данного вида работ.</w:t>
            </w:r>
          </w:p>
          <w:p>
            <w:pPr>
              <w:spacing w:after="0" w:line="276" w:lineRule="auto"/>
              <w:jc w:val="both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  <w:t>До начала выполнения работ Подрядчик предоставляет Заказчику на согласование график выполнения работ на объекте (сроки выполнения работ на объекте должны соответствовать датам, определенным договором).</w:t>
            </w:r>
          </w:p>
          <w:p>
            <w:pPr>
              <w:spacing w:after="0" w:line="276" w:lineRule="auto"/>
              <w:jc w:val="both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  <w:t>Объём выполняемых работ, применяемых материалов должны соответствовать настоящему Техническому заданию.</w:t>
            </w:r>
          </w:p>
          <w:p>
            <w:pPr>
              <w:spacing w:after="0" w:line="276" w:lineRule="auto"/>
              <w:jc w:val="both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  <w:t>Оперативное информирование Заказчика о проблемах, выявленных в процессе выполнения работ.</w:t>
            </w:r>
          </w:p>
          <w:p>
            <w:pPr>
              <w:spacing w:after="0" w:line="276" w:lineRule="auto"/>
              <w:jc w:val="both"/>
              <w:rPr>
                <w:rFonts w:ascii="Times New Roman" w:hAnsi="Times New Roman" w:eastAsia="Times New Roman" w:cs="Times New Roman"/>
                <w:color w:val="000000" w:themeColor="text1"/>
                <w:spacing w:val="-4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pacing w:val="-4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  <w:t>Обеспечение беспрепятственного контроля Заказчиком за производством всех видов работ в течение всего срока действия договора.</w:t>
            </w:r>
          </w:p>
          <w:p>
            <w:pPr>
              <w:spacing w:after="0" w:line="276" w:lineRule="auto"/>
              <w:jc w:val="both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  <w:t>Немедленное извещение Заказчика путем направления уведомления в письменной форме и до получения от него указаний приостановить работы при обнаружении обстоятельств, угрожающих положительным результатам и качеству выполняемой работы либо создающих невозможность ее завершения в срок.</w:t>
            </w:r>
          </w:p>
          <w:p>
            <w:pPr>
              <w:spacing w:after="0" w:line="276" w:lineRule="auto"/>
              <w:jc w:val="both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  <w:t>Исполнение полученных в ходе выполнения работ указаний Заказчика, если такие указания не противоречат условиям договора, характеру выполняемых работ и не представляют собой вмешательства в оперативно-хозяйственную деятельность Подрядчика.</w:t>
            </w:r>
          </w:p>
          <w:p>
            <w:pPr>
              <w:spacing w:after="0" w:line="276" w:lineRule="auto"/>
              <w:jc w:val="both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  <w:t>При выполнении работ необходимо обеспечить:</w:t>
            </w:r>
          </w:p>
          <w:p>
            <w:pPr>
              <w:spacing w:after="0" w:line="276" w:lineRule="auto"/>
              <w:jc w:val="both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Складирование материалов должно быть организовано согласно Правилам хранения материалов. </w:t>
            </w:r>
          </w:p>
          <w:p>
            <w:pPr>
              <w:spacing w:after="0" w:line="276" w:lineRule="auto"/>
              <w:jc w:val="both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  <w:t>- осуществлять учет, вывоз строительного мусора, производить его размещение (утилизацию) на полигоне ТБО, который учитывается в Реестре объектов размещения отходов;</w:t>
            </w:r>
          </w:p>
          <w:p>
            <w:pPr>
              <w:spacing w:after="0" w:line="276" w:lineRule="auto"/>
              <w:jc w:val="both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- сбор, временное хранение и вывоз строительного мусора в соответствии с требованиями содержания мест производства земляных, ремонтных и иных видов работ, установленными законодательством Российской Федерации, Мурманской области. </w:t>
            </w:r>
          </w:p>
          <w:p>
            <w:pPr>
              <w:spacing w:after="0" w:line="276" w:lineRule="auto"/>
              <w:jc w:val="both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  <w:t>- наличие транспорта для вывоза строительного на полигон ТБО, оборудованного системой «ГЛОНАСС».</w:t>
            </w:r>
          </w:p>
          <w:p>
            <w:pPr>
              <w:spacing w:after="0" w:line="276" w:lineRule="auto"/>
              <w:jc w:val="both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  <w:t>Подрядчик должен обеспечить:</w:t>
            </w:r>
          </w:p>
          <w:p>
            <w:pPr>
              <w:spacing w:after="0" w:line="276" w:lineRule="auto"/>
              <w:jc w:val="both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  <w:t>- входной контроль поступающих материалов, изделий, конструкций и оборудования;</w:t>
            </w:r>
          </w:p>
          <w:p>
            <w:pPr>
              <w:spacing w:after="0" w:line="276" w:lineRule="auto"/>
              <w:jc w:val="both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  <w:t>- текущий контроль технологических процессов при производстве работ;</w:t>
            </w:r>
          </w:p>
          <w:p>
            <w:pPr>
              <w:spacing w:after="0" w:line="276" w:lineRule="auto"/>
              <w:jc w:val="both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  <w:t>- приемочный контроль выполненных работ.</w:t>
            </w:r>
          </w:p>
          <w:p>
            <w:pPr>
              <w:spacing w:after="0" w:line="276" w:lineRule="auto"/>
              <w:jc w:val="both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b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  <w:t>Входной контроль</w:t>
            </w: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 поступающих материалов, изделий, конструкций и оборудования должен включать проверку:</w:t>
            </w:r>
          </w:p>
          <w:p>
            <w:pPr>
              <w:spacing w:after="0" w:line="276" w:lineRule="auto"/>
              <w:jc w:val="both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  <w:t>- наличия соответствующих сертификатов;</w:t>
            </w:r>
          </w:p>
          <w:p>
            <w:pPr>
              <w:spacing w:after="0" w:line="276" w:lineRule="auto"/>
              <w:jc w:val="both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  <w:t>- наличия и надлежащего заполнения документа о качестве и соответствии приведенных в нем данных - характеристикам, установленным в нормативном документе, регламентирующем технические требования к данной продукции;</w:t>
            </w:r>
          </w:p>
          <w:p>
            <w:pPr>
              <w:spacing w:after="0" w:line="276" w:lineRule="auto"/>
              <w:jc w:val="both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  <w:t>- наличия маркировки, сохранности упаковки, наличия и сохранности защитных и окрасочных покрытий и т. п.;</w:t>
            </w:r>
          </w:p>
          <w:p>
            <w:pPr>
              <w:spacing w:after="0" w:line="276" w:lineRule="auto"/>
              <w:jc w:val="both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  <w:t>- правильности складирования и хранения.</w:t>
            </w:r>
          </w:p>
          <w:p>
            <w:pPr>
              <w:spacing w:after="0" w:line="276" w:lineRule="auto"/>
              <w:jc w:val="both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  <w:t>При отсутствии документов о качестве, маркировке, нарушении сохранности упаковки необходимо провести испытания материалов для оценки возможности их использования.</w:t>
            </w:r>
          </w:p>
          <w:p>
            <w:pPr>
              <w:spacing w:after="0" w:line="276" w:lineRule="auto"/>
              <w:jc w:val="both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b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  <w:t>Текущий контроль</w:t>
            </w: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 должен включать в себя надзор за правильностью и последовательностью выполнения отдельных операций, а также требуемые измерения и испытания.</w:t>
            </w:r>
          </w:p>
          <w:p>
            <w:pPr>
              <w:spacing w:after="0" w:line="276" w:lineRule="auto"/>
              <w:jc w:val="both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  <w:t>Подрядчик должен организовать проведение текущего контроля при выполнении работ в соответствии с указаниями соответствующих глав сводов правил, строительных норм и правил и проектной документации.</w:t>
            </w:r>
          </w:p>
          <w:p>
            <w:pPr>
              <w:spacing w:after="0" w:line="276" w:lineRule="auto"/>
              <w:jc w:val="both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b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  <w:t>Приемочный контроль</w:t>
            </w: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 должен включать в себя предъявление Заказчику актов скрытых работ с фотоматериалами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6" w:hRule="atLeast"/>
        </w:trPr>
        <w:tc>
          <w:tcPr>
            <w:tcW w:w="31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numPr>
                <w:ilvl w:val="0"/>
                <w:numId w:val="1"/>
              </w:numPr>
              <w:tabs>
                <w:tab w:val="left" w:pos="201"/>
              </w:tabs>
              <w:spacing w:line="276" w:lineRule="auto"/>
              <w:ind w:left="0" w:right="31" w:firstLine="0"/>
              <w:jc w:val="both"/>
              <w:rPr>
                <w:rFonts w:ascii="Times New Roman" w:hAnsi="Times New Roman" w:eastAsia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b/>
              </w:rPr>
              <w:t>Гарантии качества выполнения работ:</w:t>
            </w:r>
          </w:p>
        </w:tc>
        <w:tc>
          <w:tcPr>
            <w:tcW w:w="6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76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Подрядчик гарантирует, что выполняемые работы соответствуют требованиям, установленным в контракте, обязательным нормам и правилам, регулирующим данную деятельность (ГОСТ, ТУ).</w:t>
            </w:r>
          </w:p>
          <w:p>
            <w:pPr>
              <w:spacing w:after="0" w:line="276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Под гарантией понимается устранение Подрядчиком своими силами и за свой счет допущенных по его вине недостатков, выявленных после приемки работ.</w:t>
            </w:r>
          </w:p>
          <w:p>
            <w:pPr>
              <w:spacing w:after="0" w:line="276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Если в период гарантийного срока обнаружатся недостатки, то Подрядчик (в случае, если не докажет отсутствие своей вины) обязан устранить их за свой счет в сроки, согласованные Сторонами и зафиксированные в акте с перечнем выявленных недостатков и сроком их устранения. Гарантийный срок в этом случае соответственно продлевается на период устранения недостатков.</w:t>
            </w:r>
          </w:p>
          <w:p>
            <w:pPr>
              <w:spacing w:after="0" w:line="276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Подрядчик гарантирует возможность безопасного использования результата выполненных работ по назначению в течение всего гарантийного срока.</w:t>
            </w:r>
          </w:p>
          <w:p>
            <w:pPr>
              <w:spacing w:after="0" w:line="276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Гарантийный срок устанавливается не менее 36 месяцев с момента подписания сторонами документа о приёмке.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numPr>
                <w:ilvl w:val="0"/>
                <w:numId w:val="1"/>
              </w:numPr>
              <w:tabs>
                <w:tab w:val="left" w:pos="201"/>
              </w:tabs>
              <w:spacing w:line="276" w:lineRule="auto"/>
              <w:ind w:left="0" w:right="31" w:firstLine="0"/>
              <w:jc w:val="both"/>
              <w:rPr>
                <w:rFonts w:ascii="Times New Roman" w:hAnsi="Times New Roman" w:eastAsia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b/>
              </w:rPr>
              <w:t xml:space="preserve">Особые требования к </w:t>
            </w:r>
            <w:r>
              <w:rPr>
                <w:rFonts w:ascii="Times New Roman" w:hAnsi="Times New Roman" w:eastAsia="Times New Roman" w:cs="Times New Roman"/>
                <w:b/>
                <w:lang w:val="ru-RU"/>
              </w:rPr>
              <w:t>сдаче работ</w:t>
            </w:r>
            <w:r>
              <w:rPr>
                <w:rFonts w:ascii="Times New Roman" w:hAnsi="Times New Roman" w:eastAsia="Times New Roman" w:cs="Times New Roman"/>
                <w:b/>
              </w:rPr>
              <w:t>:</w:t>
            </w:r>
          </w:p>
        </w:tc>
        <w:tc>
          <w:tcPr>
            <w:tcW w:w="6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76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Работы должны быть выполнены в установленный срок. </w:t>
            </w:r>
          </w:p>
          <w:p>
            <w:pPr>
              <w:spacing w:after="0" w:line="276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Проверка работ, выполняемых Подрядчиком, производится Заказчиком на протяжении всего срока действия договора и включает контрольные мероприятия по подготовке подрядчика к производству работ, контрольные мероприятия по проверке соблюдения технологии производства работ, изучение исполнительной документации Подрядчика, осмотр и проверка объемов работ, проверка соответствия качества выполняемых работ нормативной документации, проверка соответствия стоимости выполненных работ.</w:t>
            </w:r>
          </w:p>
          <w:p>
            <w:pPr>
              <w:spacing w:after="0" w:line="276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 случае выявления Заказчиком недостатков выполненных работ, перечень нарушений и сроки их устранения указываются в соответствующем акте.</w:t>
            </w:r>
          </w:p>
          <w:p>
            <w:pPr>
              <w:spacing w:after="0" w:line="276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Подрядчик обязан устранить нарушения, выявленные Заказчиком в установленные актом сроки. </w:t>
            </w:r>
          </w:p>
          <w:p>
            <w:pPr>
              <w:spacing w:after="0" w:line="276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 окончании производства работ, Подрядчик представляет Заказчику акт выполненных работ. </w:t>
            </w:r>
          </w:p>
          <w:p>
            <w:pPr>
              <w:spacing w:after="0" w:line="276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 случае получения от Заказчика запроса о предоставлении разъяснений касательно результатов работ, или мотивированного отказа от принятия результатов выполненных работ, Подрядчик обязан представить Заказчику запрашиваемые разъяснения в отношении выполненных работ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numPr>
                <w:ilvl w:val="0"/>
                <w:numId w:val="1"/>
              </w:numPr>
              <w:tabs>
                <w:tab w:val="left" w:pos="201"/>
              </w:tabs>
              <w:spacing w:line="276" w:lineRule="auto"/>
              <w:ind w:left="0" w:right="31" w:firstLine="0"/>
              <w:jc w:val="both"/>
              <w:rPr>
                <w:rFonts w:ascii="Times New Roman" w:hAnsi="Times New Roman" w:eastAsia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b/>
              </w:rPr>
              <w:t>Требования к безопасности выполнения работ и безопасности результатов работ:</w:t>
            </w:r>
          </w:p>
        </w:tc>
        <w:tc>
          <w:tcPr>
            <w:tcW w:w="6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76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Подрядчик в период производства работ несет полную ответственность за:              </w:t>
            </w:r>
          </w:p>
          <w:p>
            <w:pPr>
              <w:spacing w:after="0" w:line="276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- обеспечение безопасности движения в границах производства работ;                       </w:t>
            </w:r>
          </w:p>
          <w:p>
            <w:pPr>
              <w:spacing w:after="0" w:line="276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- обеспечение сохранности находящегося в зоне производства работ коммуникаций и инженерных сетей, в соответствии со статьей 714 Гражданского кодекса РФ; </w:t>
            </w:r>
          </w:p>
          <w:p>
            <w:pPr>
              <w:spacing w:after="0" w:line="276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- обеспечение сохранности находящегося на объекте строительных материалов, оборудования и техники.</w:t>
            </w:r>
          </w:p>
          <w:p>
            <w:pPr>
              <w:spacing w:after="0" w:line="276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Подрядчик обязан обеспечить соблюдение правил охраны труда, техники безопасности, пожарной безопасности. Обязательное наличие на объекте инструкции по охране труда и технике безопасности. Все выполняемые работы должны отвечать требованиям безопасности эксплуатации, материалы должны быть надежно закреплены и безопасны. Обеспечение соответствия результатов работ требованиям качества, безопасности жизни и здоровья людей, а также иным требованиям сертификации, безопасности (санитарным нормам и правилам, государственным стандартам и т.п.), лицензирования, установленным действующим законодательством РФ.  Все рабочие должны быть обеспечены спецодеждой (униформой).</w:t>
            </w:r>
          </w:p>
          <w:p>
            <w:pPr>
              <w:spacing w:after="0" w:line="276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Ответственность за пожарную безопасность на объекте, своевременное выполнение противопожарных мероприятий, обеспечение средствами пожаротушения несет Подрядчик.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numPr>
                <w:ilvl w:val="0"/>
                <w:numId w:val="1"/>
              </w:numPr>
              <w:tabs>
                <w:tab w:val="left" w:pos="201"/>
              </w:tabs>
              <w:spacing w:line="276" w:lineRule="auto"/>
              <w:ind w:left="0" w:right="31" w:firstLine="0"/>
              <w:jc w:val="both"/>
              <w:rPr>
                <w:rFonts w:ascii="Times New Roman" w:hAnsi="Times New Roman" w:eastAsia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b/>
                <w:lang w:val="ru-RU"/>
              </w:rPr>
              <w:t>Требования к результату работ:</w:t>
            </w:r>
          </w:p>
        </w:tc>
        <w:tc>
          <w:tcPr>
            <w:tcW w:w="6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76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Результаты работ:</w:t>
            </w:r>
          </w:p>
          <w:p>
            <w:pPr>
              <w:spacing w:after="0" w:line="276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Подрядчик обязан вести общий журнал производства работ. Общий журнал работ должен постоянно находиться на Объекте у ответственного представителя Подрядчика. Общий журнал работ должен быть скреплен, пронумерован, прошнурован, оформлен всеми подписями на титульном листе. </w:t>
            </w:r>
          </w:p>
          <w:p>
            <w:pPr>
              <w:spacing w:after="0" w:line="276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 завершению работ Подрядчик должен представить и сдать Заказчику исполнительную документацию, в состав которой входят:</w:t>
            </w:r>
          </w:p>
          <w:p>
            <w:pPr>
              <w:spacing w:after="0" w:line="276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-форма КС-2; КС-3.</w:t>
            </w:r>
          </w:p>
          <w:p>
            <w:pPr>
              <w:spacing w:after="0" w:line="276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-акты на скрытые виды работ;</w:t>
            </w:r>
          </w:p>
          <w:p>
            <w:pPr>
              <w:spacing w:after="0" w:line="276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-предусмотренные действующими нормативами сертификаты и паспорта на материалы, изделия (заверенные копии);</w:t>
            </w:r>
          </w:p>
          <w:p>
            <w:pPr>
              <w:spacing w:after="0" w:line="276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-исполнительные схемы, которые представляют собой текстовые и графические материалы, отражающие фактическое исполнение проектных решений и фактическое положение объектов и их элементов. Исполнительные схемы содержат подробные размеры, описание материалов и выполненные работы. Это комплект рабочих чертежей с надписями о соответствии выполненных по факту работ этим чертежам или о внесенных в них по согласованию с проектировщиком изменениях, сделанных лицами, ответственными за производство строительно-монтажных работ.</w:t>
            </w:r>
          </w:p>
          <w:p>
            <w:pPr>
              <w:spacing w:after="0" w:line="276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Непредставление комплекта исполнительной документации является основанием для отказа Заказчика от принятия результатов выполненных работ.</w:t>
            </w:r>
          </w:p>
          <w:p>
            <w:pPr>
              <w:spacing w:after="0" w:line="276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 случае получения от Заказчика запроса о предоставлении разъяснений касательно результатов выполнения работ, или мотивированного отказа от принятия результатов работ, Подрядчик обязан представить Заказчику запрашиваемые разъяснения в отношении выполненных работ в срок, установленный таким запросом, устранить полученные от Заказчика замечания/недостатки, произвести доработки и передать Заказчику приведенный в соответствие с предъявленными требованиями/замечаниями комплект исполнительной документации.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numPr>
                <w:ilvl w:val="0"/>
                <w:numId w:val="1"/>
              </w:numPr>
              <w:tabs>
                <w:tab w:val="left" w:pos="201"/>
              </w:tabs>
              <w:spacing w:line="276" w:lineRule="auto"/>
              <w:ind w:left="0" w:right="31" w:firstLine="0"/>
              <w:jc w:val="both"/>
              <w:rPr>
                <w:rFonts w:ascii="Times New Roman" w:hAnsi="Times New Roman" w:eastAsia="Times New Roman" w:cs="Times New Roman"/>
                <w:b/>
                <w:lang w:val="ru-RU"/>
              </w:rPr>
            </w:pPr>
            <w:r>
              <w:rPr>
                <w:rFonts w:ascii="Times New Roman" w:hAnsi="Times New Roman" w:eastAsia="Times New Roman" w:cs="Times New Roman"/>
                <w:b/>
                <w:lang w:val="ru-RU"/>
              </w:rPr>
              <w:t>Особые условия производства работ</w:t>
            </w:r>
          </w:p>
        </w:tc>
        <w:tc>
          <w:tcPr>
            <w:tcW w:w="6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76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климатический район - IIA </w:t>
            </w:r>
          </w:p>
          <w:p>
            <w:pPr>
              <w:spacing w:after="0" w:line="276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снеговой район - V (320 кг/кв. м)</w:t>
            </w:r>
          </w:p>
          <w:p>
            <w:pPr>
              <w:spacing w:after="0" w:line="276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ветровой район - IV (48 кг/кв. м)</w:t>
            </w:r>
          </w:p>
        </w:tc>
      </w:tr>
    </w:tbl>
    <w:p>
      <w:pPr>
        <w:spacing w:after="0" w:line="276" w:lineRule="auto"/>
        <w:ind w:firstLine="709"/>
        <w:rPr>
          <w:rFonts w:eastAsia="Arial Unicode MS" w:cs="Arial Unicode MS"/>
          <w:color w:val="000000"/>
          <w:sz w:val="24"/>
          <w:szCs w:val="24"/>
          <w:lang w:eastAsia="ru-RU"/>
        </w:rPr>
      </w:pPr>
    </w:p>
    <w:p>
      <w:pPr>
        <w:spacing w:after="0" w:line="240" w:lineRule="auto"/>
        <w:rPr>
          <w:rFonts w:eastAsia="Arial Unicode MS" w:cs="Arial Unicode MS"/>
          <w:color w:val="000000"/>
          <w:sz w:val="24"/>
          <w:szCs w:val="24"/>
          <w:lang w:eastAsia="ru-RU"/>
        </w:rPr>
      </w:pPr>
      <w:r>
        <w:rPr>
          <w:rFonts w:eastAsia="Arial Unicode MS" w:cs="Arial Unicode MS"/>
          <w:color w:val="000000"/>
          <w:sz w:val="24"/>
          <w:szCs w:val="24"/>
          <w:lang w:eastAsia="ru-RU"/>
        </w:rPr>
        <w:br w:type="page"/>
      </w:r>
    </w:p>
    <w:p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6"/>
          <w:szCs w:val="26"/>
          <w:lang w:eastAsia="ru-RU"/>
        </w:rPr>
        <w:t>Перечень видов и объемов работ</w:t>
      </w:r>
    </w:p>
    <w:p>
      <w:pPr>
        <w:spacing w:after="0" w:line="240" w:lineRule="auto"/>
        <w:ind w:firstLine="567"/>
        <w:contextualSpacing/>
        <w:jc w:val="right"/>
        <w:rPr>
          <w:rFonts w:ascii="Times New Roman" w:hAnsi="Times New Roman" w:cs="Times New Roman"/>
          <w:szCs w:val="20"/>
        </w:rPr>
      </w:pPr>
    </w:p>
    <w:tbl>
      <w:tblPr>
        <w:tblStyle w:val="3"/>
        <w:tblW w:w="9668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"/>
        <w:gridCol w:w="6266"/>
        <w:gridCol w:w="1559"/>
        <w:gridCol w:w="12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67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 w:eastAsia="Calibri" w:cs="Times New Roman"/>
                <w:sz w:val="20"/>
                <w:szCs w:val="20"/>
              </w:rPr>
              <w:br w:type="textWrapping"/>
            </w:r>
            <w:r>
              <w:rPr>
                <w:rFonts w:ascii="Times New Roman" w:hAnsi="Times New Roman" w:eastAsia="Calibri" w:cs="Times New Roman"/>
                <w:sz w:val="20"/>
                <w:szCs w:val="20"/>
              </w:rPr>
              <w:t>п/п</w:t>
            </w:r>
          </w:p>
        </w:tc>
        <w:tc>
          <w:tcPr>
            <w:tcW w:w="6266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</w:rPr>
              <w:t>Наименование работ</w:t>
            </w:r>
          </w:p>
        </w:tc>
        <w:tc>
          <w:tcPr>
            <w:tcW w:w="1559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1276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</w:rPr>
              <w:t>Количество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67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</w:rPr>
              <w:t>1</w:t>
            </w:r>
          </w:p>
        </w:tc>
        <w:tc>
          <w:tcPr>
            <w:tcW w:w="6266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668" w:type="dxa"/>
            <w:gridSpan w:val="4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0"/>
                <w:szCs w:val="20"/>
              </w:rPr>
              <w:t>г. Мурманск, комплекс Долина Уюта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67" w:type="dxa"/>
            <w:vAlign w:val="center"/>
          </w:tcPr>
          <w:p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</w:rPr>
            </w:pPr>
          </w:p>
        </w:tc>
        <w:tc>
          <w:tcPr>
            <w:tcW w:w="6266" w:type="dxa"/>
            <w:vAlign w:val="center"/>
          </w:tcPr>
          <w:p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</w:rPr>
              <w:t>Планировка откосов и полотна выемок механизированным способом</w:t>
            </w:r>
          </w:p>
        </w:tc>
        <w:tc>
          <w:tcPr>
            <w:tcW w:w="1559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</w:rPr>
              <w:t xml:space="preserve">1000 м2 </w:t>
            </w:r>
          </w:p>
        </w:tc>
        <w:tc>
          <w:tcPr>
            <w:tcW w:w="1276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</w:rPr>
              <w:t>0,96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67" w:type="dxa"/>
            <w:vAlign w:val="center"/>
          </w:tcPr>
          <w:p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</w:rPr>
            </w:pPr>
          </w:p>
        </w:tc>
        <w:tc>
          <w:tcPr>
            <w:tcW w:w="6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Погрузка при автомобильных перевозках грунта растительного слоя (земля, перегной)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 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259,04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67" w:type="dxa"/>
            <w:vAlign w:val="center"/>
          </w:tcPr>
          <w:p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</w:rPr>
            </w:pPr>
          </w:p>
        </w:tc>
        <w:tc>
          <w:tcPr>
            <w:tcW w:w="6266" w:type="dxa"/>
            <w:vAlign w:val="center"/>
          </w:tcPr>
          <w:p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</w:rPr>
              <w:t xml:space="preserve">Перевозка грузов I класса автомобилями-самосвалами грузоподъемностью 10 </w:t>
            </w:r>
          </w:p>
        </w:tc>
        <w:tc>
          <w:tcPr>
            <w:tcW w:w="1559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 </w:t>
            </w:r>
          </w:p>
        </w:tc>
        <w:tc>
          <w:tcPr>
            <w:tcW w:w="1276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259,04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67" w:type="dxa"/>
            <w:vAlign w:val="center"/>
          </w:tcPr>
          <w:p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</w:rPr>
            </w:pPr>
          </w:p>
        </w:tc>
        <w:tc>
          <w:tcPr>
            <w:tcW w:w="6266" w:type="dxa"/>
            <w:vAlign w:val="center"/>
          </w:tcPr>
          <w:p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</w:rPr>
              <w:t>Устройство подстилающих и выравнивающих слоев оснований из песчано-гравийной смеси, дресвы</w:t>
            </w:r>
          </w:p>
        </w:tc>
        <w:tc>
          <w:tcPr>
            <w:tcW w:w="1559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</w:rPr>
              <w:t>100 м3</w:t>
            </w:r>
          </w:p>
        </w:tc>
        <w:tc>
          <w:tcPr>
            <w:tcW w:w="1276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</w:rPr>
              <w:t>4,5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67" w:type="dxa"/>
            <w:vAlign w:val="center"/>
          </w:tcPr>
          <w:p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</w:rPr>
            </w:pPr>
          </w:p>
        </w:tc>
        <w:tc>
          <w:tcPr>
            <w:tcW w:w="6266" w:type="dxa"/>
            <w:vAlign w:val="center"/>
          </w:tcPr>
          <w:p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</w:rPr>
              <w:t>Уплотнение грунта прицепными катками на пневмоколесном ходу 25 т на первый проход по одному следу при толщине слоя до 25 см</w:t>
            </w:r>
          </w:p>
        </w:tc>
        <w:tc>
          <w:tcPr>
            <w:tcW w:w="1559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</w:rPr>
              <w:t xml:space="preserve">1000 м3 </w:t>
            </w:r>
          </w:p>
        </w:tc>
        <w:tc>
          <w:tcPr>
            <w:tcW w:w="1276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67" w:type="dxa"/>
            <w:vAlign w:val="center"/>
          </w:tcPr>
          <w:p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</w:rPr>
            </w:pPr>
          </w:p>
        </w:tc>
        <w:tc>
          <w:tcPr>
            <w:tcW w:w="6266" w:type="dxa"/>
            <w:vAlign w:val="center"/>
          </w:tcPr>
          <w:p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</w:rPr>
              <w:t>Установка бортовых камней бетонных при других видах покрытий</w:t>
            </w:r>
          </w:p>
        </w:tc>
        <w:tc>
          <w:tcPr>
            <w:tcW w:w="1559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</w:rPr>
              <w:t>100 м</w:t>
            </w:r>
          </w:p>
        </w:tc>
        <w:tc>
          <w:tcPr>
            <w:tcW w:w="1276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67" w:type="dxa"/>
            <w:vAlign w:val="center"/>
          </w:tcPr>
          <w:p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</w:rPr>
            </w:pPr>
          </w:p>
        </w:tc>
        <w:tc>
          <w:tcPr>
            <w:tcW w:w="6266" w:type="dxa"/>
            <w:vAlign w:val="center"/>
          </w:tcPr>
          <w:p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</w:rPr>
              <w:t>Устройство прослойки из нетканого синтетического материала (НСМ) в земляном полотне сплошной</w:t>
            </w:r>
          </w:p>
        </w:tc>
        <w:tc>
          <w:tcPr>
            <w:tcW w:w="1559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</w:rPr>
              <w:t>1000 м2</w:t>
            </w:r>
          </w:p>
        </w:tc>
        <w:tc>
          <w:tcPr>
            <w:tcW w:w="1276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</w:rPr>
              <w:t>0,21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67" w:type="dxa"/>
            <w:vAlign w:val="center"/>
          </w:tcPr>
          <w:p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</w:rPr>
            </w:pPr>
          </w:p>
        </w:tc>
        <w:tc>
          <w:tcPr>
            <w:tcW w:w="6266" w:type="dxa"/>
            <w:vAlign w:val="center"/>
          </w:tcPr>
          <w:p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</w:rPr>
              <w:t>Укрепление земляных откосов после механизированной планировки с применением георешетки с последующей засыпкой щебнем</w:t>
            </w:r>
          </w:p>
        </w:tc>
        <w:tc>
          <w:tcPr>
            <w:tcW w:w="1559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</w:rPr>
              <w:t>100 м2</w:t>
            </w:r>
          </w:p>
        </w:tc>
        <w:tc>
          <w:tcPr>
            <w:tcW w:w="1276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</w:rPr>
              <w:t>2,1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67" w:type="dxa"/>
            <w:vAlign w:val="center"/>
          </w:tcPr>
          <w:p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</w:rPr>
            </w:pPr>
          </w:p>
        </w:tc>
        <w:tc>
          <w:tcPr>
            <w:tcW w:w="6266" w:type="dxa"/>
            <w:vAlign w:val="center"/>
          </w:tcPr>
          <w:p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</w:rPr>
              <w:t>Подготовка почвы для устройства партерного и обыкновенного газона с внесением растительной земли слоем 15 см механизированным способом</w:t>
            </w:r>
          </w:p>
        </w:tc>
        <w:tc>
          <w:tcPr>
            <w:tcW w:w="1559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</w:rPr>
              <w:t>100 м2</w:t>
            </w:r>
          </w:p>
        </w:tc>
        <w:tc>
          <w:tcPr>
            <w:tcW w:w="1276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</w:rPr>
              <w:t>2,1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67" w:type="dxa"/>
            <w:vAlign w:val="center"/>
          </w:tcPr>
          <w:p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</w:rPr>
            </w:pPr>
          </w:p>
        </w:tc>
        <w:tc>
          <w:tcPr>
            <w:tcW w:w="6266" w:type="dxa"/>
            <w:vAlign w:val="center"/>
          </w:tcPr>
          <w:p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</w:rPr>
              <w:t>Посев газонов партерных, мавританских и обыкновенных вручную</w:t>
            </w:r>
          </w:p>
        </w:tc>
        <w:tc>
          <w:tcPr>
            <w:tcW w:w="1559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</w:rPr>
              <w:t>100 м2</w:t>
            </w:r>
          </w:p>
        </w:tc>
        <w:tc>
          <w:tcPr>
            <w:tcW w:w="1276" w:type="dxa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</w:rPr>
              <w:t>2,1</w:t>
            </w:r>
          </w:p>
        </w:tc>
      </w:tr>
    </w:tbl>
    <w:p>
      <w:pPr>
        <w:spacing w:after="0" w:line="276" w:lineRule="auto"/>
        <w:ind w:firstLine="709"/>
        <w:rPr>
          <w:rFonts w:eastAsia="Arial Unicode MS" w:cs="Arial Unicode MS"/>
          <w:color w:val="000000"/>
          <w:sz w:val="24"/>
          <w:szCs w:val="24"/>
          <w:lang w:eastAsia="ru-RU"/>
        </w:rPr>
      </w:pPr>
    </w:p>
    <w:p>
      <w:pPr>
        <w:spacing w:after="0" w:line="240" w:lineRule="auto"/>
        <w:rPr>
          <w:rFonts w:eastAsia="Arial Unicode MS" w:cs="Arial Unicode MS"/>
          <w:color w:val="000000"/>
          <w:sz w:val="24"/>
          <w:szCs w:val="24"/>
          <w:lang w:eastAsia="ru-RU"/>
        </w:rPr>
      </w:pPr>
      <w:r>
        <w:rPr>
          <w:rFonts w:eastAsia="Arial Unicode MS" w:cs="Arial Unicode MS"/>
          <w:color w:val="000000"/>
          <w:sz w:val="24"/>
          <w:szCs w:val="24"/>
          <w:lang w:eastAsia="ru-RU"/>
        </w:rPr>
        <w:br w:type="page"/>
      </w:r>
    </w:p>
    <w:p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6"/>
          <w:szCs w:val="26"/>
          <w:lang w:eastAsia="ru-RU"/>
        </w:rPr>
        <w:t>Требования к используемым материалам</w:t>
      </w:r>
    </w:p>
    <w:p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bCs/>
          <w:color w:val="000000"/>
          <w:sz w:val="26"/>
          <w:szCs w:val="26"/>
          <w:lang w:eastAsia="ru-RU"/>
        </w:rPr>
      </w:pPr>
    </w:p>
    <w:tbl>
      <w:tblPr>
        <w:tblStyle w:val="3"/>
        <w:tblW w:w="100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1"/>
        <w:gridCol w:w="1275"/>
        <w:gridCol w:w="1560"/>
        <w:gridCol w:w="1559"/>
        <w:gridCol w:w="2551"/>
        <w:gridCol w:w="26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  <w:jc w:val="center"/>
        </w:trPr>
        <w:tc>
          <w:tcPr>
            <w:tcW w:w="42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sz w:val="18"/>
                <w:szCs w:val="18"/>
                <w:lang w:eastAsia="ru-RU"/>
              </w:rPr>
            </w:pPr>
          </w:p>
          <w:p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127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sz w:val="18"/>
                <w:szCs w:val="18"/>
                <w:lang w:eastAsia="ru-RU"/>
              </w:rPr>
              <w:t>Наименование</w:t>
            </w:r>
          </w:p>
          <w:p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sz w:val="18"/>
                <w:szCs w:val="18"/>
                <w:lang w:eastAsia="ru-RU"/>
              </w:rPr>
              <w:t xml:space="preserve">Материала (товара), </w:t>
            </w:r>
          </w:p>
          <w:p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sz w:val="18"/>
                <w:szCs w:val="18"/>
                <w:lang w:eastAsia="ru-RU"/>
              </w:rPr>
              <w:t>оборудования</w:t>
            </w:r>
          </w:p>
        </w:tc>
        <w:tc>
          <w:tcPr>
            <w:tcW w:w="836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tabs>
                <w:tab w:val="left" w:pos="284"/>
                <w:tab w:val="left" w:pos="1162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18"/>
                <w:szCs w:val="18"/>
                <w:lang w:eastAsia="ru-RU"/>
              </w:rPr>
              <w:t>Показатели (характеристики) используемого материала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  <w:jc w:val="center"/>
        </w:trPr>
        <w:tc>
          <w:tcPr>
            <w:tcW w:w="42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84"/>
                <w:tab w:val="left" w:pos="1162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18"/>
                <w:szCs w:val="18"/>
                <w:lang w:eastAsia="ru-RU"/>
              </w:rPr>
              <w:t>Наименование показателя (характеристики), единицы измерения показателя (характеристики)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84"/>
                <w:tab w:val="left" w:pos="1162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sz w:val="18"/>
                <w:szCs w:val="18"/>
                <w:lang w:eastAsia="ru-RU"/>
              </w:rPr>
              <w:t>Требования к значениям показателя (характеристики)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84"/>
                <w:tab w:val="left" w:pos="1162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sz w:val="18"/>
                <w:szCs w:val="18"/>
                <w:lang w:eastAsia="ru-RU"/>
              </w:rPr>
              <w:t>Обоснование установленных требований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84"/>
                <w:tab w:val="left" w:pos="1162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sz w:val="18"/>
                <w:szCs w:val="18"/>
                <w:lang w:eastAsia="ru-RU"/>
              </w:rPr>
              <w:t>Инструкция для участника закупки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84"/>
                <w:tab w:val="left" w:pos="1162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84"/>
                <w:tab w:val="left" w:pos="1162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84"/>
                <w:tab w:val="left" w:pos="1162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84"/>
                <w:tab w:val="left" w:pos="1162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284"/>
                <w:tab w:val="left" w:pos="1162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84"/>
                <w:tab w:val="left" w:pos="1162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sz w:val="18"/>
                <w:szCs w:val="18"/>
                <w:lang w:eastAsia="ru-RU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" w:hRule="atLeast"/>
          <w:jc w:val="center"/>
        </w:trPr>
        <w:tc>
          <w:tcPr>
            <w:tcW w:w="42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75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ПГС с послойным уплотнением</w:t>
            </w:r>
          </w:p>
        </w:tc>
        <w:tc>
          <w:tcPr>
            <w:tcW w:w="156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16"/>
                <w:szCs w:val="16"/>
                <w:lang w:eastAsia="ru-RU"/>
              </w:rPr>
              <w:t>Соответствие</w:t>
            </w:r>
          </w:p>
        </w:tc>
        <w:tc>
          <w:tcPr>
            <w:tcW w:w="155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84"/>
                <w:tab w:val="left" w:pos="1162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16"/>
                <w:szCs w:val="16"/>
                <w:lang w:eastAsia="ru-RU"/>
              </w:rPr>
              <w:t>ГОСТ 23735-2014</w:t>
            </w:r>
          </w:p>
        </w:tc>
        <w:tc>
          <w:tcPr>
            <w:tcW w:w="255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84"/>
                <w:tab w:val="left" w:pos="1162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i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z w:val="16"/>
                <w:szCs w:val="16"/>
              </w:rPr>
              <w:t>Требование установлено в целях обеспечения соответствия функциональных характеристик (потребительских свойств) изделия (элементов изделия) потребностям Заказчика</w:t>
            </w:r>
          </w:p>
        </w:tc>
        <w:tc>
          <w:tcPr>
            <w:tcW w:w="269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84"/>
                <w:tab w:val="left" w:pos="1162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 w:val="16"/>
                <w:szCs w:val="16"/>
              </w:rPr>
              <w:t>Участник закупки указывает (не меняя формулировок) то значение неизменного показателя, которое установил заказчик.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" w:hRule="atLeast"/>
          <w:jc w:val="center"/>
        </w:trPr>
        <w:tc>
          <w:tcPr>
            <w:tcW w:w="4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16"/>
                <w:szCs w:val="16"/>
                <w:lang w:eastAsia="ru-RU"/>
              </w:rPr>
              <w:t>Глубина, мм</w:t>
            </w:r>
          </w:p>
        </w:tc>
        <w:tc>
          <w:tcPr>
            <w:tcW w:w="155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16"/>
                <w:szCs w:val="16"/>
                <w:lang w:eastAsia="ru-RU"/>
              </w:rPr>
              <w:t>Не менее 2100</w:t>
            </w:r>
          </w:p>
        </w:tc>
        <w:tc>
          <w:tcPr>
            <w:tcW w:w="255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i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z w:val="16"/>
                <w:szCs w:val="16"/>
              </w:rPr>
              <w:t>Требование установлено в целях обеспечения соответствия функциональных характеристик (потребительских свойств) изделия (элементов изделия) потребностям Заказчика</w:t>
            </w:r>
          </w:p>
        </w:tc>
        <w:tc>
          <w:tcPr>
            <w:tcW w:w="269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 w:val="16"/>
                <w:szCs w:val="16"/>
              </w:rPr>
              <w:t>Участник закупки указывает конкретное (единственное) значение показателя, которое должно быть равно или больше установленного заказчиком значения. Слова  «не менее», «минимум», «не ранее», «не ниже», а также знак «≥»  не должны использоваться участником.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" w:hRule="atLeast"/>
          <w:jc w:val="center"/>
        </w:trPr>
        <w:tc>
          <w:tcPr>
            <w:tcW w:w="4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16"/>
                <w:szCs w:val="16"/>
                <w:lang w:eastAsia="ru-RU"/>
              </w:rPr>
              <w:t>Песок фракция, мм</w:t>
            </w:r>
          </w:p>
        </w:tc>
        <w:tc>
          <w:tcPr>
            <w:tcW w:w="155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от 1,25 до 2,5 мм</w:t>
            </w:r>
          </w:p>
        </w:tc>
        <w:tc>
          <w:tcPr>
            <w:tcW w:w="255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Calibri" w:cs="Times New Roman"/>
                <w:sz w:val="16"/>
                <w:szCs w:val="16"/>
                <w:lang w:eastAsia="ru-RU"/>
              </w:rPr>
              <w:t>ГОСТ 23735-2014</w:t>
            </w:r>
          </w:p>
        </w:tc>
        <w:tc>
          <w:tcPr>
            <w:tcW w:w="269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i/>
                <w:color w:val="FF000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i/>
                <w:sz w:val="16"/>
                <w:szCs w:val="16"/>
              </w:rPr>
              <w:t>Участник закупки указывает (не меняя формулировок) то значение неизменного показателя, которое установил заказчик.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" w:hRule="atLeast"/>
          <w:jc w:val="center"/>
        </w:trPr>
        <w:tc>
          <w:tcPr>
            <w:tcW w:w="4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16"/>
                <w:szCs w:val="16"/>
                <w:lang w:eastAsia="ru-RU"/>
              </w:rPr>
              <w:t>Гравий фракция, мм</w:t>
            </w:r>
          </w:p>
        </w:tc>
        <w:tc>
          <w:tcPr>
            <w:tcW w:w="155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от 20 до 40</w:t>
            </w:r>
          </w:p>
        </w:tc>
        <w:tc>
          <w:tcPr>
            <w:tcW w:w="255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Calibri" w:cs="Times New Roman"/>
                <w:sz w:val="16"/>
                <w:szCs w:val="16"/>
                <w:lang w:eastAsia="ru-RU"/>
              </w:rPr>
              <w:t>ГОСТ 23735-2014</w:t>
            </w:r>
          </w:p>
        </w:tc>
        <w:tc>
          <w:tcPr>
            <w:tcW w:w="269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i/>
                <w:color w:val="FF000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i/>
                <w:sz w:val="16"/>
                <w:szCs w:val="16"/>
              </w:rPr>
              <w:t>Участник закупки указывает (не меняя формулировок) то значение неизменного показателя, которое установил заказчик.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</w:trPr>
        <w:tc>
          <w:tcPr>
            <w:tcW w:w="42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75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16"/>
                <w:szCs w:val="16"/>
                <w:lang w:eastAsia="ru-RU"/>
              </w:rPr>
              <w:t>Бортовой камень</w:t>
            </w:r>
          </w:p>
        </w:tc>
        <w:tc>
          <w:tcPr>
            <w:tcW w:w="156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16"/>
                <w:szCs w:val="16"/>
                <w:lang w:eastAsia="ru-RU"/>
              </w:rPr>
              <w:t> Соответствие</w:t>
            </w:r>
          </w:p>
        </w:tc>
        <w:tc>
          <w:tcPr>
            <w:tcW w:w="155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z w:val="16"/>
                <w:szCs w:val="16"/>
              </w:rPr>
              <w:t> ГОСТ 6665-91. Камни бетонные и железобетонные бортовые</w:t>
            </w:r>
          </w:p>
        </w:tc>
        <w:tc>
          <w:tcPr>
            <w:tcW w:w="255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z w:val="16"/>
                <w:szCs w:val="16"/>
              </w:rPr>
              <w:t>Требование установлено в целях обеспечения соответствия функциональных характеристик (потребительских свойств) изделия (элементов изделия) потребностям Заказчика</w:t>
            </w:r>
          </w:p>
        </w:tc>
        <w:tc>
          <w:tcPr>
            <w:tcW w:w="269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i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i/>
                <w:sz w:val="16"/>
                <w:szCs w:val="16"/>
              </w:rPr>
              <w:t>Участник закупки указывает (не меняя формулировок) то значение неизменного показателя, которое установил заказчик.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</w:trPr>
        <w:tc>
          <w:tcPr>
            <w:tcW w:w="4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16"/>
                <w:szCs w:val="16"/>
                <w:lang w:eastAsia="ru-RU"/>
              </w:rPr>
              <w:t>Марка</w:t>
            </w:r>
          </w:p>
        </w:tc>
        <w:tc>
          <w:tcPr>
            <w:tcW w:w="155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16"/>
                <w:szCs w:val="16"/>
              </w:rPr>
              <w:t>БР100.30.15</w:t>
            </w:r>
          </w:p>
        </w:tc>
        <w:tc>
          <w:tcPr>
            <w:tcW w:w="255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i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z w:val="16"/>
                <w:szCs w:val="16"/>
              </w:rPr>
              <w:t>ГОСТ 6665-91. Камни бетонные и железобетонные бортовые</w:t>
            </w:r>
          </w:p>
        </w:tc>
        <w:tc>
          <w:tcPr>
            <w:tcW w:w="269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i/>
                <w:sz w:val="16"/>
                <w:szCs w:val="16"/>
              </w:rPr>
              <w:t>Участник закупки указывает (не меняя формулировок) то значение неизменного показателя, которое установил заказчик.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6" w:hRule="atLeast"/>
          <w:jc w:val="center"/>
        </w:trPr>
        <w:tc>
          <w:tcPr>
            <w:tcW w:w="42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75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16"/>
                <w:szCs w:val="16"/>
                <w:lang w:eastAsia="ru-RU"/>
              </w:rPr>
              <w:t>Георешетка</w:t>
            </w:r>
          </w:p>
        </w:tc>
        <w:tc>
          <w:tcPr>
            <w:tcW w:w="156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16"/>
                <w:szCs w:val="16"/>
                <w:lang w:eastAsia="ru-RU"/>
              </w:rPr>
              <w:t>Высота, мм</w:t>
            </w:r>
          </w:p>
        </w:tc>
        <w:tc>
          <w:tcPr>
            <w:tcW w:w="155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16"/>
                <w:szCs w:val="16"/>
                <w:lang w:eastAsia="ru-RU"/>
              </w:rPr>
              <w:t xml:space="preserve">Не </w:t>
            </w:r>
            <w:r>
              <w:rPr>
                <w:rFonts w:ascii="Times New Roman" w:hAnsi="Times New Roman" w:eastAsia="Calibri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менее 150 не более 200</w:t>
            </w:r>
          </w:p>
        </w:tc>
        <w:tc>
          <w:tcPr>
            <w:tcW w:w="255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z w:val="16"/>
                <w:szCs w:val="16"/>
              </w:rPr>
              <w:t>Требование установлено в целях обеспечения соответствия функциональных характеристик (потребительских свойств) изделия (элементов изделия) потребностям Заказчика</w:t>
            </w:r>
          </w:p>
        </w:tc>
        <w:tc>
          <w:tcPr>
            <w:tcW w:w="269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i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i/>
                <w:sz w:val="16"/>
                <w:szCs w:val="16"/>
              </w:rPr>
              <w:t>Участник закупки указывает конкретное (единственное) значение показателя, которое находится между минимальным и максимальным значением или равно минимальному или максимальному значению, установленному заказчиком.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</w:trPr>
        <w:tc>
          <w:tcPr>
            <w:tcW w:w="4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16"/>
                <w:szCs w:val="16"/>
                <w:lang w:eastAsia="ru-RU"/>
              </w:rPr>
              <w:t>Размер ячеек, см</w:t>
            </w:r>
          </w:p>
        </w:tc>
        <w:tc>
          <w:tcPr>
            <w:tcW w:w="155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Не менее 20х20 </w:t>
            </w:r>
          </w:p>
        </w:tc>
        <w:tc>
          <w:tcPr>
            <w:tcW w:w="255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z w:val="16"/>
                <w:szCs w:val="16"/>
              </w:rPr>
              <w:t>Требование установлено в целях обеспечения соответствия функциональных характеристик (потребительских свойств) изделия (элементов изделия) потребностям Заказчика</w:t>
            </w:r>
          </w:p>
        </w:tc>
        <w:tc>
          <w:tcPr>
            <w:tcW w:w="269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i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i/>
                <w:sz w:val="16"/>
                <w:szCs w:val="16"/>
              </w:rPr>
              <w:t>Участник закупки указывает конкретное (единственное) значение показателя, которое должно быть равно или больше установленного заказчиком значения. Слова  «не менее», «минимум», «не ранее», «не ниже», а также знак «≥»  не должны использоваться участником.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</w:trPr>
        <w:tc>
          <w:tcPr>
            <w:tcW w:w="42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275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Геотекстиль </w:t>
            </w:r>
          </w:p>
        </w:tc>
        <w:tc>
          <w:tcPr>
            <w:tcW w:w="156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16"/>
                <w:szCs w:val="16"/>
                <w:lang w:eastAsia="ru-RU"/>
              </w:rPr>
              <w:t>Соответствие</w:t>
            </w:r>
          </w:p>
        </w:tc>
        <w:tc>
          <w:tcPr>
            <w:tcW w:w="155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16"/>
                <w:szCs w:val="16"/>
                <w:lang w:eastAsia="ru-RU"/>
              </w:rPr>
              <w:t>ГОСТ 33068-2014 «Материалы геосинтетические для дренажных систем. Общие технические требования»</w:t>
            </w:r>
          </w:p>
        </w:tc>
        <w:tc>
          <w:tcPr>
            <w:tcW w:w="255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z w:val="16"/>
                <w:szCs w:val="16"/>
              </w:rPr>
              <w:t>Требование установлено в целях обеспечения соответствия функциональных характеристик (потребительских свойств) изделия (элементов изделия) потребностям Заказчика</w:t>
            </w:r>
          </w:p>
        </w:tc>
        <w:tc>
          <w:tcPr>
            <w:tcW w:w="269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i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i/>
                <w:sz w:val="16"/>
                <w:szCs w:val="16"/>
              </w:rPr>
              <w:t>Участник закупки указывает (не меняя формулировок) то значение неизменного показателя, которое установил заказчик.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</w:trPr>
        <w:tc>
          <w:tcPr>
            <w:tcW w:w="4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16"/>
                <w:szCs w:val="16"/>
                <w:lang w:eastAsia="ru-RU"/>
              </w:rPr>
              <w:t>Марка</w:t>
            </w:r>
          </w:p>
        </w:tc>
        <w:tc>
          <w:tcPr>
            <w:tcW w:w="155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Дорнит 200 или эквивалент</w:t>
            </w:r>
          </w:p>
        </w:tc>
        <w:tc>
          <w:tcPr>
            <w:tcW w:w="255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16"/>
                <w:szCs w:val="16"/>
              </w:rPr>
              <w:t>Требование установлено в целях обеспечения соответствия функциональных характеристик (потребительских свойств) изделия (элементов изделия) потребностям Заказчика</w:t>
            </w:r>
          </w:p>
        </w:tc>
        <w:tc>
          <w:tcPr>
            <w:tcW w:w="269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i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i/>
                <w:sz w:val="16"/>
                <w:szCs w:val="16"/>
              </w:rPr>
              <w:t>Участник закупки указывает (не меняя формулировок) то значение неизменного показателя, которое установил заказчик или эквивалент.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</w:trPr>
        <w:tc>
          <w:tcPr>
            <w:tcW w:w="4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16"/>
                <w:szCs w:val="16"/>
                <w:lang w:eastAsia="ru-RU"/>
              </w:rPr>
            </w:pPr>
          </w:p>
          <w:p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16"/>
                <w:szCs w:val="16"/>
                <w:lang w:eastAsia="ru-RU"/>
              </w:rPr>
              <w:t>Разрывная нагрузка в продольном направлении, Н</w:t>
            </w:r>
          </w:p>
        </w:tc>
        <w:tc>
          <w:tcPr>
            <w:tcW w:w="155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16"/>
                <w:szCs w:val="16"/>
                <w:lang w:eastAsia="ru-RU"/>
              </w:rPr>
              <w:t xml:space="preserve">Не менее 210 </w:t>
            </w:r>
          </w:p>
        </w:tc>
        <w:tc>
          <w:tcPr>
            <w:tcW w:w="255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Calibri" w:cs="Times New Roman"/>
                <w:sz w:val="16"/>
                <w:szCs w:val="16"/>
                <w:lang w:eastAsia="ru-RU"/>
              </w:rPr>
              <w:t>ГОСТ 33068-2014</w:t>
            </w:r>
          </w:p>
        </w:tc>
        <w:tc>
          <w:tcPr>
            <w:tcW w:w="269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i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i/>
                <w:sz w:val="16"/>
                <w:szCs w:val="16"/>
              </w:rPr>
              <w:t>Участник закупки указывает конкретное (единственное) значение показателя, которое должно быть равно или больше установленного заказчиком значения. Слова  «не менее», «минимум», «не ранее», «не ниже», а также знак «≥»  не должны использоваться участником.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</w:trPr>
        <w:tc>
          <w:tcPr>
            <w:tcW w:w="4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16"/>
                <w:szCs w:val="16"/>
                <w:lang w:eastAsia="ru-RU"/>
              </w:rPr>
              <w:t>Разрывная нагрузка в поперечном направлении, Н</w:t>
            </w:r>
          </w:p>
        </w:tc>
        <w:tc>
          <w:tcPr>
            <w:tcW w:w="155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16"/>
                <w:szCs w:val="16"/>
                <w:lang w:eastAsia="ru-RU"/>
              </w:rPr>
              <w:t xml:space="preserve">Не менее 230 </w:t>
            </w:r>
          </w:p>
        </w:tc>
        <w:tc>
          <w:tcPr>
            <w:tcW w:w="255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Calibri" w:cs="Times New Roman"/>
                <w:sz w:val="16"/>
                <w:szCs w:val="16"/>
                <w:lang w:eastAsia="ru-RU"/>
              </w:rPr>
              <w:t>ГОСТ 33068-2014</w:t>
            </w:r>
          </w:p>
        </w:tc>
        <w:tc>
          <w:tcPr>
            <w:tcW w:w="269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i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i/>
                <w:sz w:val="16"/>
                <w:szCs w:val="16"/>
              </w:rPr>
              <w:t>Участник закупки указывает конкретное (единственное) значение показателя, которое должно быть равно или больше установленного заказчиком значения. Слова  «не менее», «минимум», «не ранее», «не ниже», а также знак «≥»  не должны использоваться участником.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</w:trPr>
        <w:tc>
          <w:tcPr>
            <w:tcW w:w="4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Температура эксплуатации, </w:t>
            </w:r>
            <w:r>
              <w:rPr>
                <w:rFonts w:ascii="Times New Roman" w:hAnsi="Times New Roman" w:eastAsia="Calibri" w:cs="Times New Roman"/>
                <w:bCs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°C</w:t>
            </w:r>
          </w:p>
        </w:tc>
        <w:tc>
          <w:tcPr>
            <w:tcW w:w="155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bCs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Не уже от -60 до 50 </w:t>
            </w:r>
          </w:p>
        </w:tc>
        <w:tc>
          <w:tcPr>
            <w:tcW w:w="255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Calibri" w:cs="Times New Roman"/>
                <w:sz w:val="16"/>
                <w:szCs w:val="16"/>
                <w:lang w:eastAsia="ru-RU"/>
              </w:rPr>
              <w:t xml:space="preserve">ГОСТ 33068-2014 </w:t>
            </w:r>
          </w:p>
        </w:tc>
        <w:tc>
          <w:tcPr>
            <w:tcW w:w="269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84"/>
              </w:tabs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i/>
                <w:sz w:val="16"/>
                <w:szCs w:val="16"/>
                <w:lang w:val="ru-RU"/>
              </w:rPr>
            </w:pPr>
            <w:r>
              <w:rPr>
                <w:rFonts w:ascii="Times New Roman" w:hAnsi="Times New Roman" w:eastAsia="Times New Roman" w:cs="Times New Roman"/>
                <w:i/>
                <w:sz w:val="16"/>
                <w:szCs w:val="16"/>
              </w:rPr>
              <w:t xml:space="preserve">Участник закупки указывает </w:t>
            </w:r>
            <w:r>
              <w:rPr>
                <w:rFonts w:ascii="Times New Roman" w:hAnsi="Times New Roman" w:eastAsia="Times New Roman" w:cs="Times New Roman"/>
                <w:i/>
                <w:sz w:val="16"/>
                <w:szCs w:val="16"/>
                <w:lang w:val="ru-RU"/>
              </w:rPr>
              <w:t>заданный</w:t>
            </w:r>
            <w:r>
              <w:rPr>
                <w:rFonts w:hint="default" w:ascii="Times New Roman" w:hAnsi="Times New Roman" w:eastAsia="Times New Roman" w:cs="Times New Roman"/>
                <w:i/>
                <w:sz w:val="16"/>
                <w:szCs w:val="16"/>
                <w:lang w:val="ru-RU"/>
              </w:rPr>
              <w:t xml:space="preserve"> заказчиком диапазон или более широкий диапазон. </w:t>
            </w:r>
            <w:r>
              <w:rPr>
                <w:rFonts w:ascii="Times New Roman" w:hAnsi="Times New Roman" w:eastAsia="Times New Roman" w:cs="Times New Roman"/>
                <w:i/>
                <w:sz w:val="16"/>
                <w:szCs w:val="16"/>
              </w:rPr>
              <w:t xml:space="preserve">Слова  «не </w:t>
            </w:r>
            <w:r>
              <w:rPr>
                <w:rFonts w:ascii="Times New Roman" w:hAnsi="Times New Roman" w:eastAsia="Times New Roman" w:cs="Times New Roman"/>
                <w:i/>
                <w:sz w:val="16"/>
                <w:szCs w:val="16"/>
                <w:lang w:val="ru-RU"/>
              </w:rPr>
              <w:t>уже</w:t>
            </w:r>
            <w:r>
              <w:rPr>
                <w:rFonts w:ascii="Times New Roman" w:hAnsi="Times New Roman" w:eastAsia="Times New Roman" w:cs="Times New Roman"/>
                <w:i/>
                <w:sz w:val="16"/>
                <w:szCs w:val="16"/>
              </w:rPr>
              <w:t>»</w:t>
            </w:r>
            <w:bookmarkStart w:id="0" w:name="_GoBack"/>
            <w:bookmarkEnd w:id="0"/>
            <w:r>
              <w:rPr>
                <w:rFonts w:ascii="Times New Roman" w:hAnsi="Times New Roman" w:eastAsia="Times New Roman" w:cs="Times New Roman"/>
                <w:i/>
                <w:sz w:val="16"/>
                <w:szCs w:val="16"/>
              </w:rPr>
              <w:t xml:space="preserve"> не должны использоваться участником.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</w:trPr>
        <w:tc>
          <w:tcPr>
            <w:tcW w:w="4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16"/>
                <w:szCs w:val="16"/>
                <w:lang w:eastAsia="ru-RU"/>
              </w:rPr>
              <w:t xml:space="preserve">Плотность, </w:t>
            </w:r>
            <w:r>
              <w:rPr>
                <w:rFonts w:ascii="Times New Roman" w:hAnsi="Times New Roman" w:eastAsia="Calibri" w:cs="Times New Roman"/>
                <w:bCs/>
                <w:sz w:val="16"/>
                <w:szCs w:val="16"/>
                <w:lang w:eastAsia="ru-RU"/>
              </w:rPr>
              <w:t>г/м²</w:t>
            </w:r>
          </w:p>
        </w:tc>
        <w:tc>
          <w:tcPr>
            <w:tcW w:w="155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16"/>
                <w:szCs w:val="16"/>
                <w:lang w:eastAsia="ru-RU"/>
              </w:rPr>
              <w:t xml:space="preserve">Не менее 200 </w:t>
            </w:r>
          </w:p>
        </w:tc>
        <w:tc>
          <w:tcPr>
            <w:tcW w:w="255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Calibri" w:cs="Times New Roman"/>
                <w:sz w:val="16"/>
                <w:szCs w:val="16"/>
                <w:lang w:eastAsia="ru-RU"/>
              </w:rPr>
              <w:t xml:space="preserve">ГОСТ 33068-2014 </w:t>
            </w:r>
          </w:p>
        </w:tc>
        <w:tc>
          <w:tcPr>
            <w:tcW w:w="269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i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i/>
                <w:sz w:val="16"/>
                <w:szCs w:val="16"/>
              </w:rPr>
              <w:t>Участник закупки указывает конкретное (единственное) значение показателя, которое должно быть равно или больше установленного заказчиком значения. Слова  «не менее», «минимум», «не ранее», «не ниже», а также знак «≥»  не должны использоваться участником.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6" w:hRule="atLeast"/>
          <w:jc w:val="center"/>
        </w:trPr>
        <w:tc>
          <w:tcPr>
            <w:tcW w:w="42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275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84"/>
              </w:tabs>
              <w:spacing w:after="0" w:line="240" w:lineRule="auto"/>
              <w:ind w:right="-105"/>
              <w:jc w:val="center"/>
              <w:rPr>
                <w:rFonts w:ascii="Times New Roman" w:hAnsi="Times New Roman" w:eastAsia="Calibri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16"/>
                <w:szCs w:val="16"/>
                <w:lang w:eastAsia="ru-RU"/>
              </w:rPr>
              <w:t>Плодородный грунт</w:t>
            </w:r>
          </w:p>
        </w:tc>
        <w:tc>
          <w:tcPr>
            <w:tcW w:w="156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16"/>
                <w:szCs w:val="16"/>
                <w:lang w:eastAsia="ru-RU"/>
              </w:rPr>
              <w:t xml:space="preserve">Высокое плодородие: Количество гумуса, % </w:t>
            </w:r>
          </w:p>
        </w:tc>
        <w:tc>
          <w:tcPr>
            <w:tcW w:w="155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16"/>
                <w:szCs w:val="16"/>
                <w:lang w:eastAsia="ru-RU"/>
              </w:rPr>
              <w:t>не менее 2</w:t>
            </w:r>
          </w:p>
        </w:tc>
        <w:tc>
          <w:tcPr>
            <w:tcW w:w="255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z w:val="16"/>
                <w:szCs w:val="16"/>
              </w:rPr>
              <w:t>Требование установлено в целях обеспечения соответствия функциональных характеристик (потребительских свойств) изделия (элементов изделия) потребностям Заказчика</w:t>
            </w:r>
          </w:p>
        </w:tc>
        <w:tc>
          <w:tcPr>
            <w:tcW w:w="269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i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i/>
                <w:sz w:val="16"/>
                <w:szCs w:val="16"/>
              </w:rPr>
              <w:t>Участник закупки указывает конкретное (единственное) значение показателя, которое должно быть равно или больше установленного заказчиком значения. Слова  «не менее», «минимум», «не ранее», «не ниже», а также знак «≥»  не должны использоваться участником.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</w:trPr>
        <w:tc>
          <w:tcPr>
            <w:tcW w:w="4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16"/>
                <w:szCs w:val="16"/>
                <w:lang w:eastAsia="ru-RU"/>
              </w:rPr>
              <w:t>Воздухопроницаемость и водопроницаемость</w:t>
            </w:r>
          </w:p>
        </w:tc>
        <w:tc>
          <w:tcPr>
            <w:tcW w:w="155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16"/>
                <w:szCs w:val="16"/>
                <w:lang w:eastAsia="ru-RU"/>
              </w:rPr>
              <w:t>Высокая</w:t>
            </w:r>
          </w:p>
        </w:tc>
        <w:tc>
          <w:tcPr>
            <w:tcW w:w="255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z w:val="16"/>
                <w:szCs w:val="16"/>
              </w:rPr>
              <w:t>Требование установлено в целях обеспечения соответствия функциональных характеристик (потребительских свойств) изделия (элементов изделия) потребностям Заказчика</w:t>
            </w:r>
          </w:p>
        </w:tc>
        <w:tc>
          <w:tcPr>
            <w:tcW w:w="269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i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i/>
                <w:sz w:val="16"/>
                <w:szCs w:val="16"/>
              </w:rPr>
              <w:t>Участник закупки указывает (не меняя формулировок) то значение неизменного показателя, которое установил заказчик.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</w:trPr>
        <w:tc>
          <w:tcPr>
            <w:tcW w:w="4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16"/>
                <w:szCs w:val="16"/>
                <w:lang w:eastAsia="ru-RU"/>
              </w:rPr>
              <w:t>Насыпная плотность, кг/м3</w:t>
            </w:r>
          </w:p>
        </w:tc>
        <w:tc>
          <w:tcPr>
            <w:tcW w:w="155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16"/>
                <w:szCs w:val="16"/>
                <w:lang w:eastAsia="ru-RU"/>
              </w:rPr>
              <w:t xml:space="preserve">Не менее 800 не более 1200 </w:t>
            </w:r>
          </w:p>
        </w:tc>
        <w:tc>
          <w:tcPr>
            <w:tcW w:w="255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z w:val="16"/>
                <w:szCs w:val="16"/>
              </w:rPr>
              <w:t>Требование установлено в целях обеспечения соответствия функциональных характеристик (потребительских свойств) изделия (элементов изделия) потребностям Заказчика</w:t>
            </w:r>
          </w:p>
        </w:tc>
        <w:tc>
          <w:tcPr>
            <w:tcW w:w="269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i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i/>
                <w:sz w:val="16"/>
                <w:szCs w:val="16"/>
              </w:rPr>
              <w:t>Участник закупки указывает конкретное (единственное) значение показателя, которое находится между минимальным и максимальным значением или равно минимальному или максимальному значению, установленному заказчиком.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</w:trPr>
        <w:tc>
          <w:tcPr>
            <w:tcW w:w="42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27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16"/>
                <w:szCs w:val="16"/>
                <w:lang w:eastAsia="ru-RU"/>
              </w:rPr>
              <w:t>Газон</w:t>
            </w:r>
          </w:p>
        </w:tc>
        <w:tc>
          <w:tcPr>
            <w:tcW w:w="156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16"/>
                <w:szCs w:val="16"/>
                <w:lang w:eastAsia="ru-RU"/>
              </w:rPr>
              <w:t>Газонная травосмесь</w:t>
            </w:r>
          </w:p>
        </w:tc>
        <w:tc>
          <w:tcPr>
            <w:tcW w:w="155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16"/>
                <w:szCs w:val="16"/>
                <w:lang w:eastAsia="ru-RU"/>
              </w:rPr>
              <w:t>Смесь морозостойких трав</w:t>
            </w:r>
          </w:p>
        </w:tc>
        <w:tc>
          <w:tcPr>
            <w:tcW w:w="255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z w:val="16"/>
                <w:szCs w:val="16"/>
              </w:rPr>
              <w:t>Требование установлено в целях обеспечения соответствия функциональных характеристик (потребительских свойств) изделия (элементов изделия) потребностям Заказчика</w:t>
            </w:r>
          </w:p>
        </w:tc>
        <w:tc>
          <w:tcPr>
            <w:tcW w:w="269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i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i/>
                <w:sz w:val="16"/>
                <w:szCs w:val="16"/>
              </w:rPr>
              <w:t>Участник закупки указывает (не меняя формулировок) то значение неизменного показателя, которое установил заказчик.</w:t>
            </w:r>
          </w:p>
        </w:tc>
      </w:tr>
    </w:tbl>
    <w:p/>
    <w:sectPr>
      <w:footerReference r:id="rId5" w:type="default"/>
      <w:pgSz w:w="11906" w:h="16838"/>
      <w:pgMar w:top="1134" w:right="850" w:bottom="993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CC"/>
    <w:family w:val="swiss"/>
    <w:pitch w:val="default"/>
    <w:sig w:usb0="E4002EFF" w:usb1="C000E47F" w:usb2="00000009" w:usb3="00000000" w:csb0="200001FF" w:csb1="00000000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767392682"/>
    </w:sdtPr>
    <w:sdtContent>
      <w:p>
        <w:pPr>
          <w:pStyle w:val="10"/>
          <w:jc w:val="right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>10</w:t>
        </w:r>
        <w:r>
          <w:fldChar w:fldCharType="end"/>
        </w:r>
      </w:p>
    </w:sdtContent>
  </w:sdt>
  <w:p>
    <w:pPr>
      <w:pStyle w:val="1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5DD0F05"/>
    <w:multiLevelType w:val="multilevel"/>
    <w:tmpl w:val="05DD0F05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EA2620"/>
    <w:multiLevelType w:val="multilevel"/>
    <w:tmpl w:val="1BEA2620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documentProtection w:enforcement="0"/>
  <w:defaultTabStop w:val="708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4B1A"/>
    <w:rsid w:val="000424DC"/>
    <w:rsid w:val="00047513"/>
    <w:rsid w:val="00052C55"/>
    <w:rsid w:val="00054B1A"/>
    <w:rsid w:val="00061DBA"/>
    <w:rsid w:val="00071D35"/>
    <w:rsid w:val="000766AD"/>
    <w:rsid w:val="000A522A"/>
    <w:rsid w:val="000B548E"/>
    <w:rsid w:val="000C66EE"/>
    <w:rsid w:val="000D42E6"/>
    <w:rsid w:val="000F6044"/>
    <w:rsid w:val="00100FD9"/>
    <w:rsid w:val="00111E97"/>
    <w:rsid w:val="00133C6B"/>
    <w:rsid w:val="0014356E"/>
    <w:rsid w:val="00154595"/>
    <w:rsid w:val="001752D7"/>
    <w:rsid w:val="00175584"/>
    <w:rsid w:val="001C7C78"/>
    <w:rsid w:val="001D142A"/>
    <w:rsid w:val="001D3F6F"/>
    <w:rsid w:val="001D42B5"/>
    <w:rsid w:val="001E5041"/>
    <w:rsid w:val="001F6660"/>
    <w:rsid w:val="002135DE"/>
    <w:rsid w:val="00221780"/>
    <w:rsid w:val="00254ACB"/>
    <w:rsid w:val="002D4408"/>
    <w:rsid w:val="003334E2"/>
    <w:rsid w:val="00366AEC"/>
    <w:rsid w:val="003E30B1"/>
    <w:rsid w:val="004207F4"/>
    <w:rsid w:val="0043356A"/>
    <w:rsid w:val="00461A1D"/>
    <w:rsid w:val="00472B3C"/>
    <w:rsid w:val="00473FE4"/>
    <w:rsid w:val="004A34E7"/>
    <w:rsid w:val="004C6F5C"/>
    <w:rsid w:val="004D2D55"/>
    <w:rsid w:val="004F40C4"/>
    <w:rsid w:val="00591CBC"/>
    <w:rsid w:val="0059763B"/>
    <w:rsid w:val="005B74EE"/>
    <w:rsid w:val="005C7F4F"/>
    <w:rsid w:val="005F3C8A"/>
    <w:rsid w:val="00630B80"/>
    <w:rsid w:val="00682C4F"/>
    <w:rsid w:val="00691D41"/>
    <w:rsid w:val="006A4C30"/>
    <w:rsid w:val="006A74FB"/>
    <w:rsid w:val="006B7956"/>
    <w:rsid w:val="006C6FC8"/>
    <w:rsid w:val="00704D3A"/>
    <w:rsid w:val="00717C95"/>
    <w:rsid w:val="00730772"/>
    <w:rsid w:val="00751D7B"/>
    <w:rsid w:val="00752F10"/>
    <w:rsid w:val="00764BB9"/>
    <w:rsid w:val="007908AF"/>
    <w:rsid w:val="008002BF"/>
    <w:rsid w:val="008052E5"/>
    <w:rsid w:val="008304F8"/>
    <w:rsid w:val="008459A7"/>
    <w:rsid w:val="00893ED6"/>
    <w:rsid w:val="008B1B9F"/>
    <w:rsid w:val="008B2520"/>
    <w:rsid w:val="008C5BB3"/>
    <w:rsid w:val="008C6EEC"/>
    <w:rsid w:val="008F2710"/>
    <w:rsid w:val="009065B4"/>
    <w:rsid w:val="009421E8"/>
    <w:rsid w:val="0096354E"/>
    <w:rsid w:val="00966D11"/>
    <w:rsid w:val="00971F38"/>
    <w:rsid w:val="009F761F"/>
    <w:rsid w:val="00A14005"/>
    <w:rsid w:val="00A14570"/>
    <w:rsid w:val="00A16D59"/>
    <w:rsid w:val="00A6424E"/>
    <w:rsid w:val="00A647F7"/>
    <w:rsid w:val="00A65FD1"/>
    <w:rsid w:val="00A76383"/>
    <w:rsid w:val="00A82AB1"/>
    <w:rsid w:val="00A90B63"/>
    <w:rsid w:val="00A93701"/>
    <w:rsid w:val="00AA5ABA"/>
    <w:rsid w:val="00AC3802"/>
    <w:rsid w:val="00AD5766"/>
    <w:rsid w:val="00AF037E"/>
    <w:rsid w:val="00AF3687"/>
    <w:rsid w:val="00B039EE"/>
    <w:rsid w:val="00B83301"/>
    <w:rsid w:val="00B8761D"/>
    <w:rsid w:val="00BC7C6E"/>
    <w:rsid w:val="00C47647"/>
    <w:rsid w:val="00C50E87"/>
    <w:rsid w:val="00C74CAE"/>
    <w:rsid w:val="00C75673"/>
    <w:rsid w:val="00C76E63"/>
    <w:rsid w:val="00C87BB2"/>
    <w:rsid w:val="00CD7BC6"/>
    <w:rsid w:val="00CE4A8E"/>
    <w:rsid w:val="00D10AE1"/>
    <w:rsid w:val="00D2160B"/>
    <w:rsid w:val="00D2586C"/>
    <w:rsid w:val="00D3181A"/>
    <w:rsid w:val="00D55E89"/>
    <w:rsid w:val="00D91200"/>
    <w:rsid w:val="00DB1969"/>
    <w:rsid w:val="00DC39D4"/>
    <w:rsid w:val="00DD28FA"/>
    <w:rsid w:val="00DE3C9C"/>
    <w:rsid w:val="00E025E0"/>
    <w:rsid w:val="00E25F82"/>
    <w:rsid w:val="00E50D7D"/>
    <w:rsid w:val="00E91832"/>
    <w:rsid w:val="00E95E27"/>
    <w:rsid w:val="00EA30D4"/>
    <w:rsid w:val="00EF065E"/>
    <w:rsid w:val="00F05669"/>
    <w:rsid w:val="00F73D11"/>
    <w:rsid w:val="00F83430"/>
    <w:rsid w:val="00F85C3A"/>
    <w:rsid w:val="00F94334"/>
    <w:rsid w:val="00FA42C9"/>
    <w:rsid w:val="00FB00E3"/>
    <w:rsid w:val="00FC0DA9"/>
    <w:rsid w:val="00FD378D"/>
    <w:rsid w:val="00FF5D96"/>
    <w:rsid w:val="334A70CC"/>
    <w:rsid w:val="4C566B7C"/>
    <w:rsid w:val="51DC357E"/>
    <w:rsid w:val="5FD22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annotation reference"/>
    <w:basedOn w:val="2"/>
    <w:semiHidden/>
    <w:unhideWhenUsed/>
    <w:uiPriority w:val="99"/>
    <w:rPr>
      <w:sz w:val="16"/>
      <w:szCs w:val="16"/>
    </w:rPr>
  </w:style>
  <w:style w:type="character" w:styleId="5">
    <w:name w:val="Hyperlink"/>
    <w:basedOn w:val="2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styleId="6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7">
    <w:name w:val="annotation text"/>
    <w:basedOn w:val="1"/>
    <w:link w:val="17"/>
    <w:semiHidden/>
    <w:unhideWhenUsed/>
    <w:qFormat/>
    <w:uiPriority w:val="99"/>
    <w:pPr>
      <w:spacing w:line="240" w:lineRule="auto"/>
    </w:pPr>
    <w:rPr>
      <w:sz w:val="20"/>
      <w:szCs w:val="20"/>
    </w:rPr>
  </w:style>
  <w:style w:type="paragraph" w:styleId="8">
    <w:name w:val="annotation subject"/>
    <w:basedOn w:val="7"/>
    <w:next w:val="7"/>
    <w:link w:val="18"/>
    <w:semiHidden/>
    <w:unhideWhenUsed/>
    <w:qFormat/>
    <w:uiPriority w:val="99"/>
    <w:rPr>
      <w:b/>
      <w:bCs/>
    </w:rPr>
  </w:style>
  <w:style w:type="paragraph" w:styleId="9">
    <w:name w:val="header"/>
    <w:basedOn w:val="1"/>
    <w:link w:val="15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10">
    <w:name w:val="footer"/>
    <w:basedOn w:val="1"/>
    <w:link w:val="16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table" w:styleId="11">
    <w:name w:val="Table Grid"/>
    <w:basedOn w:val="3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12">
    <w:name w:val="List Paragraph"/>
    <w:basedOn w:val="1"/>
    <w:qFormat/>
    <w:uiPriority w:val="34"/>
    <w:pPr>
      <w:spacing w:after="0" w:line="240" w:lineRule="auto"/>
      <w:ind w:left="720"/>
      <w:contextualSpacing/>
    </w:pPr>
    <w:rPr>
      <w:rFonts w:ascii="Arial Unicode MS" w:hAnsi="Arial Unicode MS" w:eastAsia="Arial Unicode MS" w:cs="Arial Unicode MS"/>
      <w:color w:val="000000"/>
      <w:sz w:val="24"/>
      <w:szCs w:val="24"/>
      <w:lang w:val="ru" w:eastAsia="ru-RU"/>
    </w:rPr>
  </w:style>
  <w:style w:type="table" w:customStyle="1" w:styleId="13">
    <w:name w:val="Сетка таблицы1"/>
    <w:basedOn w:val="3"/>
    <w:qFormat/>
    <w:uiPriority w:val="59"/>
    <w:rPr>
      <w:rFonts w:ascii="Calibri" w:hAnsi="Calibri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4">
    <w:name w:val="Текст выноски Знак"/>
    <w:basedOn w:val="2"/>
    <w:link w:val="6"/>
    <w:semiHidden/>
    <w:qFormat/>
    <w:uiPriority w:val="99"/>
    <w:rPr>
      <w:rFonts w:ascii="Segoe UI" w:hAnsi="Segoe UI" w:cs="Segoe UI"/>
      <w:sz w:val="18"/>
      <w:szCs w:val="18"/>
    </w:rPr>
  </w:style>
  <w:style w:type="character" w:customStyle="1" w:styleId="15">
    <w:name w:val="Верхний колонтитул Знак"/>
    <w:basedOn w:val="2"/>
    <w:link w:val="9"/>
    <w:qFormat/>
    <w:uiPriority w:val="99"/>
  </w:style>
  <w:style w:type="character" w:customStyle="1" w:styleId="16">
    <w:name w:val="Нижний колонтитул Знак"/>
    <w:basedOn w:val="2"/>
    <w:link w:val="10"/>
    <w:qFormat/>
    <w:uiPriority w:val="99"/>
  </w:style>
  <w:style w:type="character" w:customStyle="1" w:styleId="17">
    <w:name w:val="Текст примечания Знак"/>
    <w:basedOn w:val="2"/>
    <w:link w:val="7"/>
    <w:semiHidden/>
    <w:qFormat/>
    <w:uiPriority w:val="99"/>
    <w:rPr>
      <w:sz w:val="20"/>
      <w:szCs w:val="20"/>
    </w:rPr>
  </w:style>
  <w:style w:type="character" w:customStyle="1" w:styleId="18">
    <w:name w:val="Тема примечания Знак"/>
    <w:basedOn w:val="17"/>
    <w:link w:val="8"/>
    <w:semiHidden/>
    <w:qFormat/>
    <w:uiPriority w:val="99"/>
    <w:rPr>
      <w:b/>
      <w:bCs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SPecialiST RePack</Company>
  <Pages>10</Pages>
  <Words>3393</Words>
  <Characters>19345</Characters>
  <Lines>161</Lines>
  <Paragraphs>45</Paragraphs>
  <TotalTime>2</TotalTime>
  <ScaleCrop>false</ScaleCrop>
  <LinksUpToDate>false</LinksUpToDate>
  <CharactersWithSpaces>22693</CharactersWithSpaces>
  <Application>WPS Office_12.2.0.13266_F1E327BC-269C-435d-A152-05C5408002CA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2023-10-12T08:48:00Z</dcterms:created>
  <dc:creator>Пользователь Windows</dc:creator>
  <cp:lastModifiedBy>RCOZ-U2</cp:lastModifiedBy>
  <cp:lastPrinted>2023-05-17T06:33:00Z</cp:lastPrinted>
  <dcterms:modified xsi:type="dcterms:W3CDTF">2023-10-12T11:44:36Z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1049-12.2.0.13266</vt:lpwstr>
  </property>
  <property fmtid="{D5CDD505-2E9C-101B-9397-08002B2CF9AE}" pid="3" name="ICV">
    <vt:lpwstr>BD69F66F45204DEB9CBB348608CE69E5_12</vt:lpwstr>
  </property>
</Properties>
</file>